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8B3B7">
      <w:pPr>
        <w:wordWrap/>
        <w:jc w:val="left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附件2</w:t>
      </w:r>
    </w:p>
    <w:p w14:paraId="585858EC">
      <w:pPr>
        <w:wordWrap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C17001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起草说明</w:t>
      </w:r>
    </w:p>
    <w:p w14:paraId="776F8E4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0AF4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为深入贯彻国务院办公厅关于全链条</w:t>
      </w:r>
      <w:r>
        <w:rPr>
          <w:rFonts w:hint="eastAsia" w:ascii="仿宋_GB2312" w:hAnsi="Times New Roman" w:eastAsia="仿宋_GB2312" w:cs="仿宋_GB2312"/>
          <w:sz w:val="32"/>
          <w:szCs w:val="32"/>
          <w:u w:val="none"/>
          <w:lang w:eastAsia="zh-CN"/>
        </w:rPr>
        <w:t>打击涉烟违法活动的意见，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落实限制性产业政策要求，进一步规范电子烟产业运行秩序，遏制电子烟“内卷式”竞争趋势，防范化解产能过剩风险，提升电子烟相关生产企业合规经营水平，国家烟草专卖局（以下简称“我局”）研究起草了《关于落实电子烟产业政策  进一步推动供需动态平衡的通知（征求意见稿）》（以下简称《通知》）。现将有关情况说明如下：</w:t>
      </w:r>
    </w:p>
    <w:p w14:paraId="33957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一、起草背景</w:t>
      </w:r>
    </w:p>
    <w:p w14:paraId="28109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2021年国务院修例明确电子烟参照卷烟有关规定执行以来，我局建立健全了“1+2+N”电子烟监管政策体系，在落实国家烟草控制要求、防止产业无序发展、保护人民健康安全、促进市场秩序规范有序等方面取得了明显成效。但目前仍存在着落后产能退出不畅、产品供需结构性矛盾、出口违规情形时有发生等问题。2025年12月，国务院办公厅印发《</w:t>
      </w:r>
      <w:r>
        <w:rPr>
          <w:rFonts w:hint="eastAsia" w:ascii="仿宋_GB2312" w:hAnsi="Times New Roman" w:eastAsia="仿宋_GB2312" w:cs="仿宋_GB2312"/>
          <w:sz w:val="32"/>
          <w:szCs w:val="32"/>
          <w:u w:val="none"/>
          <w:lang w:eastAsia="zh-CN"/>
        </w:rPr>
        <w:t>关于全链条打击涉烟违法活动的意见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》，要求严格落实电子烟产业政策，全方位加强电子烟监管。为深化电子烟法治化规范化治理，落实电子烟限制性产业政策要求，进一步发挥固定资产投资审批、供需调控在推动电子烟供需平衡、促进落后产能退出中的重要作用，我局在系统梳理总结经验、深入调查研究、广泛听取意见的基础上，起草形成《通知》。</w:t>
      </w:r>
    </w:p>
    <w:p w14:paraId="5553D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二、主要内容</w:t>
      </w:r>
    </w:p>
    <w:p w14:paraId="47462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《通知》是根据当前监管形势和产业态势，对《产业结构调整指导目录（2024年本）》限制性产业要求的细化落实和《促进电子烟产业法治化规范化的若干政策措施（试行）》的重要补充。《通知》包括五个部分：一是规范电子烟相关生产企业投资行为，明确新建、原址技术改造、迁建、恢复建设等项目投资政策要求；二是加强电子烟产能调控，明确核定产能管理以及产能整合重组等要求；三是推动电子烟市场供需平衡，明确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生产规模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核定和调整要求；四是防范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化解电子烟过剩产能风险，明确推动落后、过剩产能退出有关举措；五是提升电子烟相关生产企业合规经营水平，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电子烟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数字化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、便利化。</w:t>
      </w:r>
    </w:p>
    <w:p w14:paraId="19E8475F">
      <w:pPr>
        <w:wordWrap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34FE0BA">
      <w:r>
        <w:rPr>
          <w:rFonts w:hint="eastAsia" w:ascii="宋体" w:hAnsi="宋体"/>
          <w:sz w:val="24"/>
        </w:rPr>
        <w:t xml:space="preserve">                                                </w:t>
      </w:r>
    </w:p>
    <w:p w14:paraId="682F8E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678C6"/>
    <w:rsid w:val="06F67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2025-12-25T07:50:00Z</dcterms:created>
  <dc:creator>洪敏</dc:creator>
  <cp:lastModifiedBy>洪敏</cp:lastModifiedBy>
  <dcterms:modified xsi:type="dcterms:W3CDTF">2025-12-25T07:50:30Z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3286FD8BCB77495EB045E847FDAAE8AB_11</vt:lpwstr>
  </property>
  <property fmtid="{D5CDD505-2E9C-101B-9397-08002B2CF9AE}" pid="4" name="KSOTemplateDocerSaveRecord">
    <vt:lpwstr>eyJoZGlkIjoiNTg1ZDMwNzk2ZjliNzZhMTE3YzZjNTRjNjA4MjBkMmMiLCJ1c2VySWQiOiIzNzg2NTEwMTYifQ==</vt:lpwstr>
  </property>
</Properties>
</file>