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02F" w:rsidRDefault="0012002F" w:rsidP="0012002F">
      <w:pPr>
        <w:widowControl/>
        <w:snapToGrid w:val="0"/>
        <w:spacing w:beforeLines="50" w:afterLines="50" w:line="240" w:lineRule="atLeast"/>
        <w:jc w:val="left"/>
        <w:rPr>
          <w:rFonts w:ascii="仿宋_GB2312" w:eastAsia="仿宋_GB2312" w:hAnsi="仿宋_GB2312" w:hint="eastAsia"/>
          <w:kern w:val="0"/>
          <w:sz w:val="32"/>
        </w:rPr>
      </w:pPr>
      <w:r>
        <w:rPr>
          <w:rFonts w:ascii="宋体" w:hAnsi="宋体" w:hint="eastAsia"/>
          <w:kern w:val="0"/>
          <w:sz w:val="30"/>
        </w:rPr>
        <w:t>附件2：</w:t>
      </w:r>
    </w:p>
    <w:p w:rsidR="0012002F" w:rsidRDefault="0012002F" w:rsidP="0012002F">
      <w:pPr>
        <w:widowControl/>
        <w:snapToGrid w:val="0"/>
        <w:spacing w:line="240" w:lineRule="atLeast"/>
        <w:jc w:val="center"/>
        <w:rPr>
          <w:rFonts w:ascii="仿宋_GB2312" w:eastAsia="仿宋_GB2312" w:hAnsi="仿宋_GB2312" w:hint="eastAsia"/>
          <w:kern w:val="0"/>
          <w:sz w:val="32"/>
        </w:rPr>
      </w:pPr>
      <w:r>
        <w:rPr>
          <w:rFonts w:ascii="宋体" w:hAnsi="宋体" w:hint="eastAsia"/>
          <w:b/>
          <w:kern w:val="0"/>
          <w:sz w:val="32"/>
        </w:rPr>
        <w:t>专用校车生产企业准入条件及考核要求</w:t>
      </w:r>
    </w:p>
    <w:p w:rsidR="0012002F" w:rsidRDefault="0012002F" w:rsidP="0012002F">
      <w:pPr>
        <w:widowControl/>
        <w:snapToGrid w:val="0"/>
        <w:spacing w:line="240" w:lineRule="atLeast"/>
        <w:jc w:val="center"/>
        <w:rPr>
          <w:rFonts w:ascii="仿宋_GB2312" w:eastAsia="仿宋_GB2312" w:hAnsi="仿宋_GB2312" w:hint="eastAsia"/>
          <w:kern w:val="0"/>
          <w:sz w:val="32"/>
        </w:rPr>
      </w:pPr>
    </w:p>
    <w:p w:rsidR="0012002F" w:rsidRDefault="0012002F" w:rsidP="0012002F">
      <w:pPr>
        <w:widowControl/>
        <w:snapToGrid w:val="0"/>
        <w:jc w:val="left"/>
        <w:rPr>
          <w:rFonts w:ascii="仿宋_GB2312" w:eastAsia="仿宋_GB2312" w:hAnsi="仿宋_GB2312" w:hint="eastAsia"/>
          <w:color w:val="000000"/>
          <w:kern w:val="0"/>
          <w:sz w:val="32"/>
        </w:rPr>
      </w:pPr>
      <w:r>
        <w:rPr>
          <w:rFonts w:ascii="宋体" w:hAnsi="宋体" w:hint="eastAsia"/>
          <w:b/>
          <w:color w:val="000000"/>
          <w:kern w:val="0"/>
          <w:sz w:val="30"/>
        </w:rPr>
        <w:t>一、准入条件</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66"/>
        <w:gridCol w:w="3770"/>
        <w:gridCol w:w="4240"/>
      </w:tblGrid>
      <w:tr w:rsidR="0012002F" w:rsidTr="00644ECC">
        <w:trPr>
          <w:trHeight w:val="635"/>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b/>
                <w:color w:val="000000"/>
                <w:kern w:val="0"/>
                <w:sz w:val="28"/>
              </w:rPr>
            </w:pPr>
            <w:r>
              <w:rPr>
                <w:rFonts w:ascii="宋体" w:hAnsi="宋体" w:hint="eastAsia"/>
                <w:b/>
                <w:color w:val="000000"/>
                <w:kern w:val="0"/>
                <w:sz w:val="28"/>
              </w:rPr>
              <w:t>序号</w:t>
            </w:r>
          </w:p>
        </w:tc>
        <w:tc>
          <w:tcPr>
            <w:tcW w:w="3770" w:type="dxa"/>
            <w:tcBorders>
              <w:tl2br w:val="nil"/>
              <w:tr2bl w:val="nil"/>
            </w:tcBorders>
            <w:vAlign w:val="center"/>
          </w:tcPr>
          <w:p w:rsidR="0012002F" w:rsidRDefault="0012002F" w:rsidP="00644ECC">
            <w:pPr>
              <w:snapToGrid w:val="0"/>
              <w:jc w:val="center"/>
              <w:rPr>
                <w:rFonts w:ascii="宋体" w:hAnsi="宋体" w:hint="eastAsia"/>
                <w:b/>
                <w:color w:val="000000"/>
                <w:kern w:val="0"/>
                <w:sz w:val="28"/>
              </w:rPr>
            </w:pPr>
            <w:r>
              <w:rPr>
                <w:rFonts w:ascii="宋体" w:hAnsi="宋体" w:hint="eastAsia"/>
                <w:b/>
                <w:color w:val="000000"/>
                <w:kern w:val="0"/>
                <w:sz w:val="28"/>
              </w:rPr>
              <w:t>轻型专用校车</w:t>
            </w:r>
          </w:p>
        </w:tc>
        <w:tc>
          <w:tcPr>
            <w:tcW w:w="4240" w:type="dxa"/>
            <w:tcBorders>
              <w:tl2br w:val="nil"/>
              <w:tr2bl w:val="nil"/>
            </w:tcBorders>
            <w:vAlign w:val="center"/>
          </w:tcPr>
          <w:p w:rsidR="0012002F" w:rsidRDefault="0012002F" w:rsidP="00644ECC">
            <w:pPr>
              <w:snapToGrid w:val="0"/>
              <w:jc w:val="center"/>
              <w:rPr>
                <w:rFonts w:ascii="宋体" w:hAnsi="宋体" w:hint="eastAsia"/>
                <w:b/>
                <w:color w:val="000000"/>
                <w:kern w:val="0"/>
                <w:sz w:val="28"/>
              </w:rPr>
            </w:pPr>
            <w:r>
              <w:rPr>
                <w:rFonts w:ascii="宋体" w:hAnsi="宋体" w:hint="eastAsia"/>
                <w:b/>
                <w:color w:val="000000"/>
                <w:kern w:val="0"/>
                <w:sz w:val="28"/>
              </w:rPr>
              <w:t>大中型专用校车</w:t>
            </w:r>
          </w:p>
        </w:tc>
      </w:tr>
      <w:tr w:rsidR="0012002F" w:rsidTr="00644ECC">
        <w:trPr>
          <w:trHeight w:val="171"/>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b/>
                <w:color w:val="000000"/>
                <w:kern w:val="0"/>
                <w:sz w:val="24"/>
              </w:rPr>
            </w:pPr>
            <w:r>
              <w:rPr>
                <w:rFonts w:ascii="宋体" w:hAnsi="宋体" w:hint="eastAsia"/>
                <w:b/>
                <w:color w:val="000000"/>
                <w:kern w:val="0"/>
                <w:sz w:val="24"/>
              </w:rPr>
              <w:t>一</w:t>
            </w:r>
          </w:p>
        </w:tc>
        <w:tc>
          <w:tcPr>
            <w:tcW w:w="8010" w:type="dxa"/>
            <w:gridSpan w:val="2"/>
            <w:tcBorders>
              <w:tl2br w:val="nil"/>
              <w:tr2bl w:val="nil"/>
            </w:tcBorders>
            <w:vAlign w:val="center"/>
          </w:tcPr>
          <w:p w:rsidR="0012002F" w:rsidRDefault="0012002F" w:rsidP="00644ECC">
            <w:pPr>
              <w:widowControl/>
              <w:snapToGrid w:val="0"/>
              <w:jc w:val="left"/>
              <w:rPr>
                <w:rFonts w:ascii="宋体" w:hAnsi="宋体" w:hint="eastAsia"/>
                <w:b/>
                <w:color w:val="000000"/>
                <w:kern w:val="0"/>
                <w:sz w:val="24"/>
              </w:rPr>
            </w:pPr>
            <w:r>
              <w:rPr>
                <w:rFonts w:ascii="宋体" w:hAnsi="宋体" w:hint="eastAsia"/>
                <w:b/>
                <w:color w:val="000000"/>
                <w:kern w:val="0"/>
                <w:sz w:val="24"/>
              </w:rPr>
              <w:t>国家相关政策的符合性</w:t>
            </w:r>
          </w:p>
        </w:tc>
      </w:tr>
      <w:tr w:rsidR="0012002F" w:rsidTr="00644ECC">
        <w:trPr>
          <w:trHeight w:val="62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1*</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遵守国家法律、法规及有关规章，符合国家产业发展政策和国家宏观调控政策的规定。三年内无因产品质量、安全问题被国务院主管部门或所在地省级政府部门予以警告和处罚的记录。</w:t>
            </w:r>
          </w:p>
        </w:tc>
      </w:tr>
      <w:tr w:rsidR="0012002F" w:rsidTr="00644ECC">
        <w:trPr>
          <w:trHeight w:val="62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2*</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企业设立应当符合职业健康、安全、环保、节能、消防方面的法律、法规要求。</w:t>
            </w:r>
          </w:p>
        </w:tc>
      </w:tr>
      <w:tr w:rsidR="0012002F" w:rsidTr="00644ECC">
        <w:trPr>
          <w:trHeight w:val="62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3*</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kern w:val="0"/>
                <w:sz w:val="24"/>
              </w:rPr>
              <w:t>专用校车</w:t>
            </w:r>
            <w:r>
              <w:rPr>
                <w:rFonts w:ascii="宋体" w:hAnsi="宋体" w:hint="eastAsia"/>
                <w:color w:val="000000"/>
                <w:kern w:val="0"/>
                <w:sz w:val="24"/>
              </w:rPr>
              <w:t>生产企业投资项目应当符合《汽车产业发展政策》和国家有关投资管理规定的要求。</w:t>
            </w:r>
          </w:p>
        </w:tc>
      </w:tr>
      <w:tr w:rsidR="0012002F" w:rsidTr="00644ECC">
        <w:trPr>
          <w:trHeight w:val="120"/>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b/>
                <w:color w:val="000000"/>
                <w:kern w:val="0"/>
                <w:sz w:val="24"/>
              </w:rPr>
            </w:pPr>
            <w:r>
              <w:rPr>
                <w:rFonts w:ascii="宋体" w:hAnsi="宋体" w:hint="eastAsia"/>
                <w:b/>
                <w:color w:val="000000"/>
                <w:kern w:val="0"/>
                <w:sz w:val="24"/>
              </w:rPr>
              <w:t>二</w:t>
            </w:r>
          </w:p>
        </w:tc>
        <w:tc>
          <w:tcPr>
            <w:tcW w:w="8010" w:type="dxa"/>
            <w:gridSpan w:val="2"/>
            <w:tcBorders>
              <w:tl2br w:val="nil"/>
              <w:tr2bl w:val="nil"/>
            </w:tcBorders>
            <w:vAlign w:val="center"/>
          </w:tcPr>
          <w:p w:rsidR="0012002F" w:rsidRDefault="0012002F" w:rsidP="00644ECC">
            <w:pPr>
              <w:widowControl/>
              <w:snapToGrid w:val="0"/>
              <w:jc w:val="left"/>
              <w:rPr>
                <w:rFonts w:ascii="宋体" w:hAnsi="宋体" w:hint="eastAsia"/>
                <w:b/>
                <w:color w:val="000000"/>
                <w:kern w:val="0"/>
                <w:sz w:val="24"/>
              </w:rPr>
            </w:pPr>
            <w:r>
              <w:rPr>
                <w:rFonts w:ascii="宋体" w:hAnsi="宋体" w:hint="eastAsia"/>
                <w:b/>
                <w:color w:val="000000"/>
                <w:kern w:val="0"/>
                <w:sz w:val="24"/>
              </w:rPr>
              <w:t>产品的生产能力和条件</w:t>
            </w:r>
          </w:p>
        </w:tc>
      </w:tr>
      <w:tr w:rsidR="0012002F" w:rsidTr="00644ECC">
        <w:trPr>
          <w:trHeight w:val="1096"/>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4</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应具有必要的生产厂房、存储场地及适宜、整洁的生产环境。</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应具有生产设备、主要检验仪器设备</w:t>
            </w:r>
            <w:r>
              <w:rPr>
                <w:rFonts w:ascii="宋体" w:hAnsi="宋体" w:hint="eastAsia"/>
                <w:kern w:val="0"/>
                <w:sz w:val="24"/>
              </w:rPr>
              <w:t>和试验验证设备，以及</w:t>
            </w:r>
            <w:r>
              <w:rPr>
                <w:rFonts w:ascii="宋体" w:hAnsi="宋体" w:hint="eastAsia"/>
                <w:color w:val="000000"/>
                <w:kern w:val="0"/>
                <w:sz w:val="24"/>
              </w:rPr>
              <w:t>其他生产设施的所有权。</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应具有生产场所用地的长期使用权（按照国家生产用土地使用权的规定）；租赁场地组织生产的企业，应具有至少十年以上的租赁期限。</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生产组织布局合理，有适应产品生产的物流系统，区域标识明显。</w:t>
            </w:r>
          </w:p>
        </w:tc>
      </w:tr>
      <w:tr w:rsidR="0012002F" w:rsidTr="00644ECC">
        <w:trPr>
          <w:trHeight w:val="804"/>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5*</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申请企业</w:t>
            </w:r>
            <w:r>
              <w:rPr>
                <w:rFonts w:ascii="宋体" w:hAnsi="宋体" w:hint="eastAsia"/>
                <w:kern w:val="0"/>
                <w:sz w:val="24"/>
              </w:rPr>
              <w:t>前三年的客车（含底盘）产销量累计不低于3000辆，或者大中型客车（含底盘）产销量累计不低于1000辆。</w:t>
            </w:r>
          </w:p>
        </w:tc>
      </w:tr>
      <w:tr w:rsidR="0012002F" w:rsidTr="00644ECC">
        <w:trPr>
          <w:trHeight w:val="771"/>
          <w:jc w:val="center"/>
        </w:trPr>
        <w:tc>
          <w:tcPr>
            <w:tcW w:w="966" w:type="dxa"/>
            <w:vMerge w:val="restart"/>
            <w:tcBorders>
              <w:tl2br w:val="nil"/>
              <w:tr2bl w:val="nil"/>
            </w:tcBorders>
            <w:vAlign w:val="center"/>
          </w:tcPr>
          <w:p w:rsidR="0012002F" w:rsidRDefault="0012002F" w:rsidP="00644ECC">
            <w:pPr>
              <w:snapToGrid w:val="0"/>
              <w:jc w:val="center"/>
              <w:rPr>
                <w:rFonts w:ascii="宋体" w:hAnsi="宋体" w:hint="eastAsia"/>
                <w:color w:val="000000"/>
                <w:kern w:val="0"/>
                <w:sz w:val="24"/>
              </w:rPr>
            </w:pPr>
            <w:r>
              <w:rPr>
                <w:rFonts w:ascii="宋体" w:hAnsi="宋体" w:hint="eastAsia"/>
                <w:color w:val="000000"/>
                <w:kern w:val="0"/>
                <w:sz w:val="24"/>
              </w:rPr>
              <w:t>6*</w:t>
            </w:r>
          </w:p>
        </w:tc>
        <w:tc>
          <w:tcPr>
            <w:tcW w:w="3770" w:type="dxa"/>
            <w:tcBorders>
              <w:tl2br w:val="nil"/>
              <w:tr2bl w:val="nil"/>
            </w:tcBorders>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应具备机械化的多序冲压生产线，实现车身主要非平面金属覆盖件（左右侧围、前后围、顶盖、地板、车门、机盖等）和加强梁（内板件）的加工成型。应自备相应的生产设备、模具、工装。</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应具有相应的模具维修、维护人员和设备，具有必要的冲压件、模具、检具等的存储场地。</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注1</w:t>
            </w:r>
          </w:p>
        </w:tc>
        <w:tc>
          <w:tcPr>
            <w:tcW w:w="4240" w:type="dxa"/>
            <w:tcBorders>
              <w:tl2br w:val="nil"/>
              <w:tr2bl w:val="nil"/>
            </w:tcBorders>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应自备车身、骨架冲压件的主要模具。</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车身骨架采用非型材金属材料时，应采用模具冲压或滚压成型，并具有相应的设备。</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应具有相应的模具维修、维护人员和设备。</w:t>
            </w:r>
          </w:p>
          <w:p w:rsidR="0012002F" w:rsidRDefault="0012002F" w:rsidP="00644ECC">
            <w:pPr>
              <w:widowControl/>
              <w:snapToGrid w:val="0"/>
              <w:ind w:firstLine="480"/>
              <w:jc w:val="left"/>
              <w:rPr>
                <w:rFonts w:ascii="宋体" w:hAnsi="宋体" w:hint="eastAsia"/>
                <w:color w:val="000000"/>
                <w:kern w:val="0"/>
                <w:sz w:val="24"/>
              </w:rPr>
            </w:pPr>
          </w:p>
          <w:p w:rsidR="0012002F" w:rsidRDefault="0012002F" w:rsidP="00644ECC">
            <w:pPr>
              <w:widowControl/>
              <w:snapToGrid w:val="0"/>
              <w:ind w:firstLine="480"/>
              <w:jc w:val="left"/>
              <w:rPr>
                <w:rFonts w:ascii="宋体" w:hAnsi="宋体" w:hint="eastAsia"/>
                <w:color w:val="000000"/>
                <w:kern w:val="0"/>
                <w:sz w:val="24"/>
              </w:rPr>
            </w:pP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注2</w:t>
            </w:r>
          </w:p>
        </w:tc>
      </w:tr>
      <w:tr w:rsidR="0012002F" w:rsidTr="00644ECC">
        <w:trPr>
          <w:trHeight w:val="602"/>
          <w:jc w:val="center"/>
        </w:trPr>
        <w:tc>
          <w:tcPr>
            <w:tcW w:w="966" w:type="dxa"/>
            <w:vMerge/>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p>
        </w:tc>
        <w:tc>
          <w:tcPr>
            <w:tcW w:w="8010" w:type="dxa"/>
            <w:gridSpan w:val="2"/>
            <w:tcBorders>
              <w:tl2br w:val="nil"/>
              <w:tr2bl w:val="nil"/>
            </w:tcBorders>
          </w:tcPr>
          <w:p w:rsidR="0012002F" w:rsidRDefault="0012002F" w:rsidP="00644ECC">
            <w:pPr>
              <w:widowControl/>
              <w:snapToGrid w:val="0"/>
              <w:ind w:firstLine="480"/>
              <w:jc w:val="left"/>
              <w:rPr>
                <w:rFonts w:ascii="宋体" w:hAnsi="宋体" w:hint="eastAsia"/>
                <w:color w:val="002060"/>
                <w:kern w:val="0"/>
                <w:sz w:val="24"/>
              </w:rPr>
            </w:pPr>
            <w:r>
              <w:rPr>
                <w:rFonts w:ascii="宋体" w:hAnsi="宋体" w:hint="eastAsia"/>
                <w:color w:val="000000"/>
                <w:kern w:val="0"/>
                <w:sz w:val="24"/>
              </w:rPr>
              <w:t>若生产底盘，则应具备所用车架的横梁、纵梁的模具（结构件采用热成型钢板的除外）。</w:t>
            </w:r>
          </w:p>
        </w:tc>
      </w:tr>
      <w:tr w:rsidR="0012002F" w:rsidTr="00644ECC">
        <w:trPr>
          <w:trHeight w:val="232"/>
          <w:jc w:val="center"/>
        </w:trPr>
        <w:tc>
          <w:tcPr>
            <w:tcW w:w="966" w:type="dxa"/>
            <w:vMerge w:val="restart"/>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7*</w:t>
            </w:r>
          </w:p>
        </w:tc>
        <w:tc>
          <w:tcPr>
            <w:tcW w:w="3770" w:type="dxa"/>
            <w:tcBorders>
              <w:tl2br w:val="nil"/>
              <w:tr2bl w:val="nil"/>
            </w:tcBorders>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应有车身总成机械化焊接生产线，并具有相应的生产设备、工装、夹具。</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应有车身主要分总成（左右侧围、前后围、顶盖、地板、车门、机盖等）焊装工位，并有相应的设</w:t>
            </w:r>
            <w:r>
              <w:rPr>
                <w:rFonts w:ascii="宋体" w:hAnsi="宋体" w:hint="eastAsia"/>
                <w:color w:val="000000"/>
                <w:kern w:val="0"/>
                <w:sz w:val="24"/>
              </w:rPr>
              <w:lastRenderedPageBreak/>
              <w:t>备、夹具。</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应有机械化的车身调整打磨线。</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注1</w:t>
            </w:r>
          </w:p>
        </w:tc>
        <w:tc>
          <w:tcPr>
            <w:tcW w:w="4240" w:type="dxa"/>
            <w:tcBorders>
              <w:tl2br w:val="nil"/>
              <w:tr2bl w:val="nil"/>
            </w:tcBorders>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lastRenderedPageBreak/>
              <w:t>应有车身骨架、车身总成焊接流水生产线，并具有相应的生产设备、工装、夹具。</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应有车身、骨架主要分总成（左右侧围、前后围、顶盖、地板等）焊装工位，并有相应的设备、夹具。</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lastRenderedPageBreak/>
              <w:t>应有车身调整打磨工位及相应装备。</w:t>
            </w:r>
          </w:p>
          <w:p w:rsidR="0012002F" w:rsidRDefault="0012002F" w:rsidP="00644ECC">
            <w:pPr>
              <w:widowControl/>
              <w:snapToGrid w:val="0"/>
              <w:jc w:val="left"/>
              <w:rPr>
                <w:rFonts w:ascii="宋体" w:hAnsi="宋体" w:hint="eastAsia"/>
                <w:color w:val="000000"/>
                <w:kern w:val="0"/>
                <w:sz w:val="24"/>
              </w:rPr>
            </w:pPr>
            <w:r>
              <w:rPr>
                <w:rFonts w:ascii="宋体" w:hAnsi="宋体" w:hint="eastAsia"/>
                <w:color w:val="000000"/>
                <w:kern w:val="0"/>
                <w:sz w:val="24"/>
              </w:rPr>
              <w:t xml:space="preserve">    </w:t>
            </w:r>
          </w:p>
          <w:p w:rsidR="0012002F" w:rsidRDefault="0012002F" w:rsidP="00644ECC">
            <w:pPr>
              <w:widowControl/>
              <w:snapToGrid w:val="0"/>
              <w:jc w:val="left"/>
              <w:rPr>
                <w:rFonts w:ascii="宋体" w:hAnsi="宋体" w:hint="eastAsia"/>
                <w:color w:val="000000"/>
                <w:kern w:val="0"/>
                <w:sz w:val="24"/>
              </w:rPr>
            </w:pPr>
            <w:r>
              <w:rPr>
                <w:rFonts w:ascii="宋体" w:hAnsi="宋体" w:hint="eastAsia"/>
                <w:color w:val="000000"/>
                <w:kern w:val="0"/>
                <w:sz w:val="24"/>
              </w:rPr>
              <w:t xml:space="preserve">    注2</w:t>
            </w:r>
          </w:p>
        </w:tc>
      </w:tr>
      <w:tr w:rsidR="0012002F" w:rsidTr="00644ECC">
        <w:trPr>
          <w:trHeight w:val="388"/>
          <w:jc w:val="center"/>
        </w:trPr>
        <w:tc>
          <w:tcPr>
            <w:tcW w:w="966" w:type="dxa"/>
            <w:vMerge/>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p>
        </w:tc>
        <w:tc>
          <w:tcPr>
            <w:tcW w:w="8010" w:type="dxa"/>
            <w:gridSpan w:val="2"/>
            <w:tcBorders>
              <w:tl2br w:val="nil"/>
              <w:tr2bl w:val="nil"/>
            </w:tcBorders>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应有必要的通风、除烟、除尘系统，具有与生产规模相适应的运输系统，必要的储存区域。</w:t>
            </w:r>
          </w:p>
          <w:p w:rsidR="0012002F" w:rsidRDefault="0012002F" w:rsidP="00644ECC">
            <w:pPr>
              <w:widowControl/>
              <w:snapToGrid w:val="0"/>
              <w:ind w:firstLine="480"/>
              <w:jc w:val="left"/>
              <w:rPr>
                <w:rFonts w:ascii="宋体" w:hAnsi="宋体" w:hint="eastAsia"/>
                <w:b/>
                <w:color w:val="00B050"/>
                <w:kern w:val="0"/>
                <w:sz w:val="24"/>
              </w:rPr>
            </w:pPr>
            <w:r>
              <w:rPr>
                <w:rFonts w:ascii="宋体" w:hAnsi="宋体" w:hint="eastAsia"/>
                <w:color w:val="000000"/>
                <w:kern w:val="0"/>
                <w:sz w:val="24"/>
              </w:rPr>
              <w:t>若生产底盘，则应具备机械化的车架总成铆接、焊接生产能力以及车架校正能力。</w:t>
            </w:r>
          </w:p>
        </w:tc>
      </w:tr>
      <w:tr w:rsidR="0012002F" w:rsidTr="00644ECC">
        <w:trPr>
          <w:trHeight w:val="388"/>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8*</w:t>
            </w:r>
          </w:p>
        </w:tc>
        <w:tc>
          <w:tcPr>
            <w:tcW w:w="3770" w:type="dxa"/>
            <w:tcBorders>
              <w:tl2br w:val="nil"/>
              <w:tr2bl w:val="nil"/>
            </w:tcBorders>
          </w:tcPr>
          <w:p w:rsidR="0012002F" w:rsidRDefault="0012002F" w:rsidP="00644ECC">
            <w:pPr>
              <w:widowControl/>
              <w:snapToGrid w:val="0"/>
              <w:ind w:firstLine="480"/>
              <w:jc w:val="left"/>
              <w:rPr>
                <w:rFonts w:ascii="宋体" w:hAnsi="宋体" w:hint="eastAsia"/>
                <w:b/>
                <w:color w:val="00B050"/>
                <w:kern w:val="0"/>
                <w:sz w:val="24"/>
              </w:rPr>
            </w:pPr>
            <w:r>
              <w:rPr>
                <w:rFonts w:ascii="宋体" w:hAnsi="宋体" w:hint="eastAsia"/>
                <w:color w:val="000000"/>
                <w:kern w:val="0"/>
                <w:sz w:val="24"/>
              </w:rPr>
              <w:t>应有封闭的机械化涂装生产线。包括脱脂、磷化、去离子水清洗、涂胶、中涂、面漆、烘干等工序和相应的设备。</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应有通风，废水、废气、噪音处理，消防等设施。</w:t>
            </w:r>
          </w:p>
        </w:tc>
        <w:tc>
          <w:tcPr>
            <w:tcW w:w="4240" w:type="dxa"/>
            <w:tcBorders>
              <w:tl2br w:val="nil"/>
              <w:tr2bl w:val="nil"/>
            </w:tcBorders>
          </w:tcPr>
          <w:p w:rsidR="0012002F" w:rsidRDefault="0012002F" w:rsidP="00644ECC">
            <w:pPr>
              <w:widowControl/>
              <w:snapToGrid w:val="0"/>
              <w:ind w:firstLine="480"/>
              <w:jc w:val="left"/>
              <w:rPr>
                <w:rFonts w:ascii="宋体" w:hAnsi="宋体" w:hint="eastAsia"/>
                <w:b/>
                <w:color w:val="00B050"/>
                <w:kern w:val="0"/>
                <w:sz w:val="24"/>
              </w:rPr>
            </w:pPr>
            <w:r>
              <w:rPr>
                <w:rFonts w:ascii="宋体" w:hAnsi="宋体" w:hint="eastAsia"/>
                <w:color w:val="000000"/>
                <w:kern w:val="0"/>
                <w:sz w:val="24"/>
              </w:rPr>
              <w:t>应有封闭的涂装生产线或相应工位、设备。包括前处理、涂胶、中涂、面漆、烘干等工序和相应的设备。</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应有通风，废水、废气、噪音处理，消防等设施。</w:t>
            </w:r>
          </w:p>
          <w:p w:rsidR="0012002F" w:rsidRDefault="0012002F" w:rsidP="00644ECC">
            <w:pPr>
              <w:widowControl/>
              <w:snapToGrid w:val="0"/>
              <w:ind w:firstLine="480"/>
              <w:jc w:val="left"/>
              <w:rPr>
                <w:rFonts w:ascii="宋体" w:hAnsi="宋体" w:hint="eastAsia"/>
                <w:color w:val="000000"/>
                <w:kern w:val="0"/>
                <w:sz w:val="24"/>
              </w:rPr>
            </w:pPr>
          </w:p>
        </w:tc>
      </w:tr>
      <w:tr w:rsidR="0012002F" w:rsidTr="00644ECC">
        <w:trPr>
          <w:trHeight w:val="415"/>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kern w:val="0"/>
                <w:sz w:val="24"/>
              </w:rPr>
            </w:pPr>
            <w:r>
              <w:rPr>
                <w:rFonts w:ascii="宋体" w:hAnsi="宋体" w:hint="eastAsia"/>
                <w:kern w:val="0"/>
                <w:sz w:val="24"/>
              </w:rPr>
              <w:t>9</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kern w:val="0"/>
                <w:sz w:val="24"/>
              </w:rPr>
            </w:pPr>
            <w:r>
              <w:rPr>
                <w:rFonts w:ascii="宋体" w:hAnsi="宋体" w:hint="eastAsia"/>
                <w:kern w:val="0"/>
                <w:sz w:val="24"/>
              </w:rPr>
              <w:t>具有阴极电泳处理设备、设施，对车身、骨架、车架进行电泳涂装。</w:t>
            </w:r>
          </w:p>
        </w:tc>
      </w:tr>
      <w:tr w:rsidR="0012002F" w:rsidTr="00644ECC">
        <w:trPr>
          <w:trHeight w:val="415"/>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10*</w:t>
            </w:r>
          </w:p>
        </w:tc>
        <w:tc>
          <w:tcPr>
            <w:tcW w:w="3770" w:type="dxa"/>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应有机械化的车身内、外饰总装线。</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若生产底盘，则应具备机械化的底盘装配线。</w:t>
            </w:r>
          </w:p>
        </w:tc>
        <w:tc>
          <w:tcPr>
            <w:tcW w:w="4240" w:type="dxa"/>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应有多工位流水作业的车身内、外饰总装线。</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若生产底盘，则应具备多工位流水作业的底盘装配线。</w:t>
            </w:r>
          </w:p>
        </w:tc>
      </w:tr>
      <w:tr w:rsidR="0012002F" w:rsidTr="00644ECC">
        <w:trPr>
          <w:trHeight w:val="772"/>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11</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应对关键生产设备和工装进行预防性维护和日常保养，配备操作规程，有必要的备件，确保其正常运行，并有相应的运行和维修维护记录。</w:t>
            </w:r>
          </w:p>
        </w:tc>
      </w:tr>
      <w:tr w:rsidR="0012002F" w:rsidTr="00644ECC">
        <w:trPr>
          <w:trHeight w:val="587"/>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b/>
                <w:color w:val="000000"/>
                <w:kern w:val="0"/>
                <w:sz w:val="24"/>
              </w:rPr>
            </w:pPr>
            <w:r>
              <w:rPr>
                <w:rFonts w:ascii="宋体" w:hAnsi="宋体" w:hint="eastAsia"/>
                <w:b/>
                <w:color w:val="000000"/>
                <w:kern w:val="0"/>
                <w:sz w:val="24"/>
              </w:rPr>
              <w:t>三</w:t>
            </w:r>
          </w:p>
        </w:tc>
        <w:tc>
          <w:tcPr>
            <w:tcW w:w="8010" w:type="dxa"/>
            <w:gridSpan w:val="2"/>
            <w:tcBorders>
              <w:tl2br w:val="nil"/>
              <w:tr2bl w:val="nil"/>
            </w:tcBorders>
            <w:vAlign w:val="center"/>
          </w:tcPr>
          <w:p w:rsidR="0012002F" w:rsidRDefault="0012002F" w:rsidP="00644ECC">
            <w:pPr>
              <w:widowControl/>
              <w:snapToGrid w:val="0"/>
              <w:jc w:val="left"/>
              <w:rPr>
                <w:rFonts w:ascii="宋体" w:hAnsi="宋体" w:hint="eastAsia"/>
                <w:b/>
                <w:color w:val="000000"/>
                <w:kern w:val="0"/>
                <w:sz w:val="24"/>
              </w:rPr>
            </w:pPr>
            <w:r>
              <w:rPr>
                <w:rFonts w:ascii="宋体" w:hAnsi="宋体" w:hint="eastAsia"/>
                <w:b/>
                <w:color w:val="000000"/>
                <w:kern w:val="0"/>
                <w:sz w:val="24"/>
              </w:rPr>
              <w:t>产品的设计开发能力</w:t>
            </w:r>
          </w:p>
        </w:tc>
      </w:tr>
      <w:tr w:rsidR="0012002F" w:rsidTr="00644ECC">
        <w:trPr>
          <w:trHeight w:val="655"/>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12</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应建立专门的校车产品开发部门（机构）或研发团队，统一负责（协调）产品设计开发全过程的工作。开发、生产的产品应符合知识产权保护等方面的法律规定。</w:t>
            </w:r>
          </w:p>
        </w:tc>
      </w:tr>
      <w:tr w:rsidR="0012002F" w:rsidTr="00644ECC">
        <w:trPr>
          <w:trHeight w:val="1691"/>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13*</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配备与设计开发任务相适应的专业技术人员，了解国内外同类产品技术的发展情况；能够对国家有关标准、相关行业标准、国家有关规定进行跟踪、转化；专业技术人员包括产品策划、造型设计、整车设计、系统及总成部件设计、设计验算及仿真分析、产品工程设计、试制和试装、试验和检验、标准法规、情报信息、知识产权与专利等方面的人员。</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其中：整车设计包括整车造型开发、车身结构设计、底盘结构设计（不适用于改装类客车企业）、整车匹配设计、整车总布置设计等。</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系统设计包括动力系统、驱动系统、制动系统等（均不适用于改装类客车企业）；也包括转向系统、承载系统、电器仪表灯光系统、车载电子及电控系统</w:t>
            </w:r>
            <w:r>
              <w:rPr>
                <w:rFonts w:ascii="宋体" w:hAnsi="宋体" w:hint="eastAsia"/>
                <w:kern w:val="0"/>
                <w:sz w:val="24"/>
              </w:rPr>
              <w:t>、座椅固定装置、乘员约束系统</w:t>
            </w:r>
            <w:r>
              <w:rPr>
                <w:rFonts w:ascii="宋体" w:hAnsi="宋体" w:hint="eastAsia"/>
                <w:color w:val="000000"/>
                <w:kern w:val="0"/>
                <w:sz w:val="24"/>
              </w:rPr>
              <w:t>等。</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总成部件设计包括企业自制主要总成部件的设计能力。</w:t>
            </w:r>
          </w:p>
          <w:p w:rsidR="0012002F" w:rsidRDefault="0012002F" w:rsidP="00644ECC">
            <w:pPr>
              <w:widowControl/>
              <w:snapToGrid w:val="0"/>
              <w:ind w:firstLine="480"/>
              <w:jc w:val="left"/>
              <w:rPr>
                <w:rFonts w:ascii="宋体" w:hAnsi="宋体" w:hint="eastAsia"/>
                <w:b/>
                <w:color w:val="00B050"/>
                <w:kern w:val="0"/>
                <w:sz w:val="24"/>
              </w:rPr>
            </w:pPr>
            <w:r>
              <w:rPr>
                <w:rFonts w:ascii="宋体" w:hAnsi="宋体" w:hint="eastAsia"/>
                <w:color w:val="000000"/>
                <w:kern w:val="0"/>
                <w:sz w:val="24"/>
              </w:rPr>
              <w:t>从事产品开发的专业技术人员占企业员工总数的比例不小于</w:t>
            </w:r>
            <w:r>
              <w:rPr>
                <w:rFonts w:ascii="宋体" w:hAnsi="宋体" w:hint="eastAsia"/>
                <w:kern w:val="0"/>
                <w:sz w:val="24"/>
              </w:rPr>
              <w:t>5</w:t>
            </w:r>
            <w:r>
              <w:rPr>
                <w:rFonts w:ascii="宋体" w:hAnsi="宋体" w:hint="eastAsia"/>
                <w:color w:val="000000"/>
                <w:kern w:val="0"/>
                <w:sz w:val="24"/>
              </w:rPr>
              <w:t>%。</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kern w:val="0"/>
                <w:sz w:val="24"/>
              </w:rPr>
              <w:t>应建立技术人员的技术档案，包括教育经历、工作经历、培训记录和设计开发成果等，并建立和落实产品开发技术人员技能评价和长期考核制度。</w:t>
            </w:r>
          </w:p>
        </w:tc>
      </w:tr>
      <w:tr w:rsidR="0012002F" w:rsidTr="00644ECC">
        <w:trPr>
          <w:trHeight w:val="45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14*</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应建立适于本企业的产品设计开发工作流程、设计规范和作业指导书，其内容应覆盖产品及制造过程的开发流程，包括技术文件管理、标准化等</w:t>
            </w:r>
            <w:r>
              <w:rPr>
                <w:rFonts w:ascii="宋体" w:hAnsi="宋体" w:hint="eastAsia"/>
                <w:color w:val="000000"/>
                <w:kern w:val="0"/>
                <w:sz w:val="24"/>
              </w:rPr>
              <w:lastRenderedPageBreak/>
              <w:t>内容，且在实际工作中得以应用。</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应建立与产品相适应的产品信息数据库，数据库应包括设计平台基础数据、整车和底盘参数、总成部件参数的设计、计算和分析结果等。</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应建立产品标准体系，企业产品技术标准中的要求应不低于相应的国家有关标准及行业标准，且应按规定办理备案手续。</w:t>
            </w:r>
          </w:p>
        </w:tc>
      </w:tr>
      <w:tr w:rsidR="0012002F" w:rsidTr="00644ECC">
        <w:trPr>
          <w:trHeight w:val="45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lastRenderedPageBreak/>
              <w:t>15</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b/>
                <w:color w:val="00B050"/>
                <w:kern w:val="0"/>
                <w:sz w:val="24"/>
              </w:rPr>
            </w:pPr>
            <w:r>
              <w:rPr>
                <w:rFonts w:ascii="宋体" w:hAnsi="宋体" w:hint="eastAsia"/>
                <w:kern w:val="0"/>
                <w:sz w:val="24"/>
              </w:rPr>
              <w:t>能使用计算机、开发工具（程序软件）进行设计分析计算，包括刚度与强度分析（至少包括车身刚度、顶部结构强度、上部结构强度）、侧倾稳定性分析、操纵稳定性和平顺性分析等。</w:t>
            </w:r>
          </w:p>
        </w:tc>
      </w:tr>
      <w:tr w:rsidR="0012002F" w:rsidTr="00644ECC">
        <w:trPr>
          <w:trHeight w:val="45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16*</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产品的设计开发应经过完整的、多阶段的验证（包括必要的试验验证），并符合国家标准、行业标准及设计任务书的要求。</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企业应具备产品（包括整车和底盘、自制总成部件）设计开发能力、整车和自制部件的试制试装能力和试验验证能力。</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整车和自制部件的试制试装能力是指：对于轻型专用校车企业，包括模型车制作、车身结构件试制或快速成型、车身焊装成型、底盘/车架试制（不适用于改装类客车企业）、底盘试装（不适用于改装类客车企业）、整车试装，以及自制部件的柔性加工成型等能力；对于大中型专用校车企业，</w:t>
            </w:r>
            <w:r>
              <w:rPr>
                <w:rFonts w:ascii="宋体" w:hAnsi="宋体" w:hint="eastAsia"/>
                <w:kern w:val="0"/>
                <w:sz w:val="24"/>
              </w:rPr>
              <w:t>包括车身骨架</w:t>
            </w:r>
            <w:r>
              <w:rPr>
                <w:rFonts w:ascii="宋体" w:hAnsi="宋体" w:hint="eastAsia"/>
                <w:color w:val="000000"/>
                <w:kern w:val="0"/>
                <w:sz w:val="24"/>
              </w:rPr>
              <w:t>试制及成型、底盘/车架试制及成型（不适用于改装类客车企业）、底架/连接承载件试制、底盘试装（不适用于改装类客车企业）、车身及底盘合装、样车装配</w:t>
            </w:r>
            <w:r>
              <w:rPr>
                <w:rFonts w:ascii="宋体" w:hAnsi="宋体" w:hint="eastAsia"/>
                <w:kern w:val="0"/>
                <w:sz w:val="24"/>
              </w:rPr>
              <w:t>等</w:t>
            </w:r>
            <w:r>
              <w:rPr>
                <w:rFonts w:ascii="宋体" w:hAnsi="宋体" w:hint="eastAsia"/>
                <w:color w:val="000000"/>
                <w:kern w:val="0"/>
                <w:sz w:val="24"/>
              </w:rPr>
              <w:t>能力</w:t>
            </w:r>
            <w:r>
              <w:rPr>
                <w:rFonts w:ascii="宋体" w:hAnsi="宋体" w:hint="eastAsia"/>
                <w:kern w:val="0"/>
                <w:sz w:val="24"/>
              </w:rPr>
              <w:t>，这些能力</w:t>
            </w:r>
            <w:r>
              <w:rPr>
                <w:rFonts w:ascii="宋体" w:hAnsi="宋体" w:hint="eastAsia"/>
                <w:color w:val="000000"/>
                <w:kern w:val="0"/>
                <w:sz w:val="24"/>
              </w:rPr>
              <w:t>可结合在客车生产过程中。</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整车和自制部件的试验验证能力包括</w:t>
            </w:r>
            <w:r>
              <w:rPr>
                <w:rFonts w:ascii="宋体" w:hAnsi="宋体" w:hint="eastAsia"/>
                <w:kern w:val="0"/>
                <w:sz w:val="24"/>
              </w:rPr>
              <w:t>整车侧倾稳定性、顶部结构强度、上部结构强度、</w:t>
            </w:r>
            <w:r>
              <w:rPr>
                <w:rFonts w:ascii="宋体" w:hAnsi="宋体" w:hint="eastAsia"/>
                <w:color w:val="000000"/>
                <w:kern w:val="0"/>
                <w:sz w:val="24"/>
              </w:rPr>
              <w:t>整车的动力性与经济性、转向操控稳定性、制动性能</w:t>
            </w:r>
            <w:r>
              <w:rPr>
                <w:rFonts w:ascii="宋体" w:hAnsi="宋体" w:hint="eastAsia"/>
                <w:kern w:val="0"/>
                <w:sz w:val="24"/>
              </w:rPr>
              <w:t>（含ABS性能）</w:t>
            </w:r>
            <w:r>
              <w:rPr>
                <w:rFonts w:ascii="宋体" w:hAnsi="宋体" w:hint="eastAsia"/>
                <w:color w:val="000000"/>
                <w:kern w:val="0"/>
                <w:sz w:val="24"/>
              </w:rPr>
              <w:t>、通过性、舒适性、噪声及排放（场地试验）、可靠性、耐久性以</w:t>
            </w:r>
            <w:r>
              <w:rPr>
                <w:rFonts w:ascii="宋体" w:hAnsi="宋体" w:hint="eastAsia"/>
                <w:kern w:val="0"/>
                <w:sz w:val="24"/>
              </w:rPr>
              <w:t>及</w:t>
            </w:r>
            <w:r>
              <w:rPr>
                <w:rFonts w:ascii="宋体" w:hAnsi="宋体" w:hint="eastAsia"/>
                <w:color w:val="000000"/>
                <w:kern w:val="0"/>
                <w:sz w:val="24"/>
              </w:rPr>
              <w:t>自制部件的性能、可靠性、疲劳性能等试验条件，</w:t>
            </w:r>
            <w:r>
              <w:rPr>
                <w:rFonts w:ascii="宋体" w:hAnsi="宋体" w:hint="eastAsia"/>
                <w:kern w:val="0"/>
                <w:sz w:val="24"/>
              </w:rPr>
              <w:t>其中整车侧倾稳定性、顶部结构强度、上部结构强度的试验验证可对外委托。</w:t>
            </w:r>
          </w:p>
        </w:tc>
      </w:tr>
      <w:tr w:rsidR="0012002F" w:rsidTr="00644ECC">
        <w:trPr>
          <w:trHeight w:val="45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17</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产品和制造过程设计开发的输入、输出应充分适宜；应对产品和制造过程设计开发的输出进行评审、验证和确认，并保存相应记录。设计输出所形成的产品图纸及相关技术文件应完整，并可以指导生产。</w:t>
            </w:r>
          </w:p>
        </w:tc>
      </w:tr>
      <w:tr w:rsidR="0012002F" w:rsidTr="00644ECC">
        <w:trPr>
          <w:trHeight w:val="840"/>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18</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在实施产品和制造过程的设计更改（包括由供方引起的更改）前，应重新进行评审（包括评价更改对产品组成部分和已交付产品的影响）、确认，必要时进行验证，并应满足生产一致性要求。</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应保存评审、验证和确认的记录，包括更改在生产中实施日期的记录。</w:t>
            </w:r>
          </w:p>
        </w:tc>
      </w:tr>
      <w:tr w:rsidR="0012002F" w:rsidTr="00644ECC">
        <w:trPr>
          <w:trHeight w:val="405"/>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b/>
                <w:color w:val="000000"/>
                <w:kern w:val="0"/>
                <w:sz w:val="24"/>
              </w:rPr>
            </w:pPr>
            <w:r>
              <w:rPr>
                <w:rFonts w:ascii="宋体" w:hAnsi="宋体" w:hint="eastAsia"/>
                <w:b/>
                <w:color w:val="000000"/>
                <w:kern w:val="0"/>
                <w:sz w:val="24"/>
              </w:rPr>
              <w:t>四</w:t>
            </w:r>
          </w:p>
        </w:tc>
        <w:tc>
          <w:tcPr>
            <w:tcW w:w="8010" w:type="dxa"/>
            <w:gridSpan w:val="2"/>
            <w:tcBorders>
              <w:tl2br w:val="nil"/>
              <w:tr2bl w:val="nil"/>
            </w:tcBorders>
            <w:vAlign w:val="center"/>
          </w:tcPr>
          <w:p w:rsidR="0012002F" w:rsidRDefault="0012002F" w:rsidP="00644ECC">
            <w:pPr>
              <w:widowControl/>
              <w:snapToGrid w:val="0"/>
              <w:jc w:val="left"/>
              <w:rPr>
                <w:rFonts w:ascii="宋体" w:hAnsi="宋体" w:hint="eastAsia"/>
                <w:b/>
                <w:color w:val="000000"/>
                <w:kern w:val="0"/>
                <w:sz w:val="24"/>
              </w:rPr>
            </w:pPr>
            <w:r>
              <w:rPr>
                <w:rFonts w:ascii="宋体" w:hAnsi="宋体" w:hint="eastAsia"/>
                <w:b/>
                <w:color w:val="000000"/>
                <w:kern w:val="0"/>
                <w:sz w:val="24"/>
              </w:rPr>
              <w:t>产品符合性</w:t>
            </w:r>
          </w:p>
        </w:tc>
      </w:tr>
      <w:tr w:rsidR="0012002F" w:rsidTr="00644ECC">
        <w:trPr>
          <w:trHeight w:val="77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19*</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应验证所开发的产品与国家标准、行业标准及国家有关规定的符合性，其中强制性标准的验证工作应由检测机构进行。</w:t>
            </w:r>
          </w:p>
        </w:tc>
      </w:tr>
      <w:tr w:rsidR="0012002F" w:rsidTr="00644ECC">
        <w:trPr>
          <w:trHeight w:val="75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20*</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生产的产品应符合产品一致性要求，即与公告车型信息、型式试验样车、产品合格证的内容相一致，产品技术参数的公差值应在允许范围内。</w:t>
            </w:r>
          </w:p>
        </w:tc>
      </w:tr>
      <w:tr w:rsidR="0012002F" w:rsidTr="00644ECC">
        <w:trPr>
          <w:trHeight w:val="46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b/>
                <w:color w:val="000000"/>
                <w:kern w:val="0"/>
                <w:sz w:val="24"/>
              </w:rPr>
            </w:pPr>
            <w:r>
              <w:rPr>
                <w:rFonts w:ascii="宋体" w:hAnsi="宋体" w:hint="eastAsia"/>
                <w:b/>
                <w:color w:val="000000"/>
                <w:kern w:val="0"/>
                <w:sz w:val="24"/>
              </w:rPr>
              <w:t>五</w:t>
            </w:r>
          </w:p>
        </w:tc>
        <w:tc>
          <w:tcPr>
            <w:tcW w:w="8010" w:type="dxa"/>
            <w:gridSpan w:val="2"/>
            <w:tcBorders>
              <w:tl2br w:val="nil"/>
              <w:tr2bl w:val="nil"/>
            </w:tcBorders>
            <w:vAlign w:val="center"/>
          </w:tcPr>
          <w:p w:rsidR="0012002F" w:rsidRDefault="0012002F" w:rsidP="00644ECC">
            <w:pPr>
              <w:widowControl/>
              <w:snapToGrid w:val="0"/>
              <w:jc w:val="left"/>
              <w:rPr>
                <w:rFonts w:ascii="宋体" w:hAnsi="宋体" w:hint="eastAsia"/>
                <w:b/>
                <w:color w:val="000000"/>
                <w:kern w:val="0"/>
                <w:sz w:val="24"/>
              </w:rPr>
            </w:pPr>
            <w:r>
              <w:rPr>
                <w:rFonts w:ascii="宋体" w:hAnsi="宋体" w:hint="eastAsia"/>
                <w:b/>
                <w:color w:val="000000"/>
                <w:kern w:val="0"/>
                <w:sz w:val="24"/>
              </w:rPr>
              <w:t>产品的生产一致性保证能力</w:t>
            </w:r>
          </w:p>
        </w:tc>
      </w:tr>
      <w:tr w:rsidR="0012002F" w:rsidTr="00644ECC">
        <w:trPr>
          <w:trHeight w:val="316"/>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21</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企业应按</w:t>
            </w:r>
            <w:r>
              <w:rPr>
                <w:rFonts w:ascii="宋体" w:hAnsi="宋体" w:hint="eastAsia"/>
                <w:kern w:val="0"/>
                <w:sz w:val="24"/>
              </w:rPr>
              <w:t>GB/T 19001</w:t>
            </w:r>
            <w:r>
              <w:rPr>
                <w:rFonts w:ascii="宋体" w:hAnsi="宋体" w:hint="eastAsia"/>
                <w:color w:val="000000"/>
                <w:kern w:val="0"/>
                <w:sz w:val="24"/>
              </w:rPr>
              <w:t>或等效标准的要求建立质量管理体系，并通过第三方认证。企业获得的认证证书应在有效期内，并覆盖企业申请的产品范围。</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企业应编制生产一致性控制计划</w:t>
            </w:r>
            <w:r>
              <w:rPr>
                <w:rFonts w:ascii="宋体" w:hAnsi="宋体" w:hint="eastAsia"/>
                <w:kern w:val="0"/>
                <w:sz w:val="24"/>
              </w:rPr>
              <w:t>并规范执行，应保存相关执行记录。</w:t>
            </w:r>
          </w:p>
        </w:tc>
      </w:tr>
      <w:tr w:rsidR="0012002F" w:rsidTr="00644ECC">
        <w:trPr>
          <w:trHeight w:val="920"/>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lastRenderedPageBreak/>
              <w:t>22</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b/>
                <w:color w:val="00B050"/>
                <w:kern w:val="0"/>
                <w:sz w:val="24"/>
              </w:rPr>
            </w:pPr>
            <w:r>
              <w:rPr>
                <w:rFonts w:ascii="宋体" w:hAnsi="宋体" w:hint="eastAsia"/>
                <w:kern w:val="0"/>
                <w:sz w:val="24"/>
              </w:rPr>
              <w:t>应实施计算机信息化管理，对生产计划、物料需求计划、库存计划、库存周转期、质量监控信息、产品技术信息及整车出厂检测数据等企业制造执行系统运行信息建立数据库，明确各类信息保存期限，确保数据信息的存储系统能够支持产品整个生命周期的需求。</w:t>
            </w:r>
          </w:p>
        </w:tc>
      </w:tr>
      <w:tr w:rsidR="0012002F" w:rsidTr="00644ECC">
        <w:trPr>
          <w:trHeight w:val="920"/>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23</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应建立和落实与产品质量有关的人员能力评价和考核制度，并应保持适当的记录。</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与产品质量有关的人员均应具备相应的资格、专业技能及知识，严格按程序文件、工艺文件或相关作业指导书工作。</w:t>
            </w:r>
          </w:p>
        </w:tc>
      </w:tr>
      <w:tr w:rsidR="0012002F" w:rsidTr="00644ECC">
        <w:trPr>
          <w:trHeight w:val="2015"/>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24</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具备保证产品质量所必需的进货质量控制、过程质量控制、成品质量控制等设备和辅助检具，检验项目覆盖整车主要技术特性参数、主要零部件基本技术参数、功能和性能方面的检验内容，性能指标应满足相关技术标准的要求，且与所要求的测量能力一致。</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应对检验设备（包括</w:t>
            </w:r>
            <w:r>
              <w:rPr>
                <w:rFonts w:ascii="宋体" w:hAnsi="宋体" w:hint="eastAsia"/>
                <w:kern w:val="0"/>
                <w:sz w:val="24"/>
              </w:rPr>
              <w:t>过程监控设备，以及</w:t>
            </w:r>
            <w:r>
              <w:rPr>
                <w:rFonts w:ascii="宋体" w:hAnsi="宋体" w:hint="eastAsia"/>
                <w:color w:val="000000"/>
                <w:kern w:val="0"/>
                <w:sz w:val="24"/>
              </w:rPr>
              <w:t>有关的程序、软件）进行控制，按照规定的时间间隔或在使用前进行校准或检定；当发现检验设备不符合要求时，应对以往测量结果的有效性进行评价，并对该检验设备和有关产品采取适当的措施。</w:t>
            </w:r>
          </w:p>
        </w:tc>
      </w:tr>
      <w:tr w:rsidR="0012002F" w:rsidTr="00644ECC">
        <w:trPr>
          <w:trHeight w:val="45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25*</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应建立合格证管理制度和合格证信息数据库，按照合格证管理有关规定制作、配发符合要求的产品合格证，在规定期限内上传合格证信息，保存合格证制作和发放记录。</w:t>
            </w:r>
          </w:p>
        </w:tc>
      </w:tr>
      <w:tr w:rsidR="0012002F" w:rsidTr="00644ECC">
        <w:trPr>
          <w:trHeight w:val="45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26</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建立从关键零部件总成供应方至整车出厂的完整的产品标识和可追溯体系。应建立整车产品信息及出厂检测数据记录和存储系统，其中整车基本信息存档期限为车辆的设计使用年限；产品的检验测试数据存档期限不少于</w:t>
            </w:r>
            <w:r>
              <w:rPr>
                <w:rFonts w:ascii="宋体" w:hAnsi="宋体" w:hint="eastAsia"/>
                <w:kern w:val="0"/>
                <w:sz w:val="24"/>
              </w:rPr>
              <w:t>8年</w:t>
            </w:r>
            <w:r>
              <w:rPr>
                <w:rFonts w:ascii="宋体" w:hAnsi="宋体" w:hint="eastAsia"/>
                <w:color w:val="002060"/>
                <w:kern w:val="0"/>
                <w:sz w:val="24"/>
              </w:rPr>
              <w:t>。</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当产品质量、安全、环保等方面发生重大共性问题和设计缺陷时（包括由于供应方原因引起的问题），应能迅速查明原因，确定召回范围，并采取必要措施；当顾客需要维修备件时，应能够迅速确定所需备件的技术状态。</w:t>
            </w:r>
          </w:p>
        </w:tc>
      </w:tr>
      <w:tr w:rsidR="0012002F" w:rsidTr="00644ECC">
        <w:trPr>
          <w:trHeight w:val="45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27</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对于涉及重要特性、安全特性、环保特性的零部件、总成，应开发编制进货检验、过程检验、成品检验的检验规范或检验指导书，并按规定实施监视测量活动。</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对于关键工序和特殊过程，应有明确的工艺要求和控制方法，编制作业指导书，规范操作过程，并实施过程监视和测量。</w:t>
            </w:r>
          </w:p>
        </w:tc>
      </w:tr>
      <w:tr w:rsidR="0012002F" w:rsidTr="00644ECC">
        <w:trPr>
          <w:trHeight w:val="388"/>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28*</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应建立供应链管理体系，确定评价标准，对供方及其产品进行评价和选择，并进行日常监督管理。</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应保留对供方的评价、选择、管理记录。</w:t>
            </w:r>
          </w:p>
        </w:tc>
      </w:tr>
      <w:tr w:rsidR="0012002F" w:rsidTr="00644ECC">
        <w:trPr>
          <w:trHeight w:val="761"/>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29</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对采购过程、生产过程、交付过程、顾客反馈中发现的不合格品进行标识、记录、评价和处置；若关键零部件的安全、环保性能不满足规定要求，不允许让步接收。</w:t>
            </w:r>
          </w:p>
        </w:tc>
      </w:tr>
      <w:tr w:rsidR="0012002F" w:rsidTr="00644ECC">
        <w:trPr>
          <w:trHeight w:val="926"/>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30</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当企业的生产一致性保证能力（包括人员能力、生产/检验设备、采购的原材料和零部件总成及其供方、生产工艺、工作环境、管理体系等）发生重大变化时，必须有充分的证据表明产品仍能满足原要求。</w:t>
            </w:r>
          </w:p>
        </w:tc>
      </w:tr>
      <w:tr w:rsidR="0012002F" w:rsidTr="00644ECC">
        <w:trPr>
          <w:trHeight w:val="457"/>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b/>
                <w:color w:val="000000"/>
                <w:kern w:val="0"/>
                <w:sz w:val="24"/>
              </w:rPr>
            </w:pPr>
            <w:r>
              <w:rPr>
                <w:rFonts w:ascii="宋体" w:hAnsi="宋体" w:hint="eastAsia"/>
                <w:b/>
                <w:color w:val="000000"/>
                <w:kern w:val="0"/>
                <w:sz w:val="24"/>
              </w:rPr>
              <w:t>六</w:t>
            </w:r>
          </w:p>
        </w:tc>
        <w:tc>
          <w:tcPr>
            <w:tcW w:w="8010" w:type="dxa"/>
            <w:gridSpan w:val="2"/>
            <w:tcBorders>
              <w:tl2br w:val="nil"/>
              <w:tr2bl w:val="nil"/>
            </w:tcBorders>
            <w:vAlign w:val="center"/>
          </w:tcPr>
          <w:p w:rsidR="0012002F" w:rsidRDefault="0012002F" w:rsidP="00644ECC">
            <w:pPr>
              <w:widowControl/>
              <w:snapToGrid w:val="0"/>
              <w:jc w:val="left"/>
              <w:rPr>
                <w:rFonts w:ascii="宋体" w:hAnsi="宋体" w:hint="eastAsia"/>
                <w:b/>
                <w:color w:val="000000"/>
                <w:kern w:val="0"/>
                <w:sz w:val="24"/>
              </w:rPr>
            </w:pPr>
            <w:r>
              <w:rPr>
                <w:rFonts w:ascii="宋体" w:hAnsi="宋体" w:hint="eastAsia"/>
                <w:b/>
                <w:color w:val="000000"/>
                <w:kern w:val="0"/>
                <w:sz w:val="24"/>
              </w:rPr>
              <w:t>产品的营销和售后服务能力</w:t>
            </w:r>
          </w:p>
        </w:tc>
      </w:tr>
      <w:tr w:rsidR="0012002F" w:rsidTr="00644ECC">
        <w:trPr>
          <w:trHeight w:val="45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31*</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应建立完整的文件化营销和售后服务管理体系，包括</w:t>
            </w:r>
            <w:r>
              <w:rPr>
                <w:rFonts w:ascii="宋体" w:hAnsi="宋体" w:hint="eastAsia"/>
                <w:kern w:val="0"/>
                <w:sz w:val="24"/>
              </w:rPr>
              <w:t>人员（包括企业</w:t>
            </w:r>
            <w:r>
              <w:rPr>
                <w:rFonts w:ascii="宋体" w:hAnsi="宋体" w:hint="eastAsia"/>
                <w:kern w:val="0"/>
                <w:sz w:val="24"/>
              </w:rPr>
              <w:lastRenderedPageBreak/>
              <w:t>内部人员、特约销售维修人员、产品使用人员）培训、销售政策、</w:t>
            </w:r>
            <w:r>
              <w:rPr>
                <w:rFonts w:ascii="宋体" w:hAnsi="宋体" w:hint="eastAsia"/>
                <w:color w:val="000000"/>
                <w:kern w:val="0"/>
                <w:sz w:val="24"/>
              </w:rPr>
              <w:t>服务政策、服务流程、销售和服务网络规划及建设要求、配件与备件提供、信息反馈、索赔规定、产品召回、客户管理等内容。</w:t>
            </w:r>
            <w:r>
              <w:rPr>
                <w:rFonts w:ascii="宋体" w:hAnsi="宋体" w:hint="eastAsia"/>
                <w:kern w:val="0"/>
                <w:sz w:val="24"/>
              </w:rPr>
              <w:t>体系</w:t>
            </w:r>
            <w:r>
              <w:rPr>
                <w:rFonts w:ascii="宋体" w:hAnsi="宋体" w:hint="eastAsia"/>
                <w:color w:val="000000"/>
                <w:kern w:val="0"/>
                <w:sz w:val="24"/>
              </w:rPr>
              <w:t>应</w:t>
            </w:r>
            <w:r>
              <w:rPr>
                <w:rFonts w:ascii="宋体" w:hAnsi="宋体" w:hint="eastAsia"/>
                <w:kern w:val="0"/>
                <w:sz w:val="24"/>
              </w:rPr>
              <w:t>有效运行，并对实施状况进行监控。</w:t>
            </w:r>
          </w:p>
        </w:tc>
      </w:tr>
      <w:tr w:rsidR="0012002F" w:rsidTr="00644ECC">
        <w:trPr>
          <w:trHeight w:val="45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lastRenderedPageBreak/>
              <w:t>32*</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b/>
                <w:color w:val="00B050"/>
                <w:kern w:val="0"/>
                <w:sz w:val="24"/>
              </w:rPr>
            </w:pPr>
            <w:r>
              <w:rPr>
                <w:rFonts w:ascii="宋体" w:hAnsi="宋体" w:hint="eastAsia"/>
                <w:kern w:val="0"/>
                <w:sz w:val="24"/>
              </w:rPr>
              <w:t>应建立计算机化的信息系统，记录校车产品及使用者信息（保存期不得少于8年），收集并记录校车产品在质量、维修、使用等方面的信息，其中维修信息的保存期不得少于8年（当车辆出现严重故障或致命故障时，信息保存期顺延）。</w:t>
            </w:r>
          </w:p>
        </w:tc>
      </w:tr>
      <w:tr w:rsidR="0012002F" w:rsidTr="00644ECC">
        <w:trPr>
          <w:trHeight w:val="459"/>
          <w:jc w:val="center"/>
        </w:trPr>
        <w:tc>
          <w:tcPr>
            <w:tcW w:w="966" w:type="dxa"/>
            <w:tcBorders>
              <w:tl2br w:val="nil"/>
              <w:tr2bl w:val="nil"/>
            </w:tcBorders>
            <w:vAlign w:val="center"/>
          </w:tcPr>
          <w:p w:rsidR="0012002F" w:rsidRDefault="0012002F" w:rsidP="00644ECC">
            <w:pPr>
              <w:widowControl/>
              <w:snapToGrid w:val="0"/>
              <w:jc w:val="center"/>
              <w:rPr>
                <w:rFonts w:ascii="宋体" w:hAnsi="宋体" w:hint="eastAsia"/>
                <w:color w:val="000000"/>
                <w:kern w:val="0"/>
                <w:sz w:val="24"/>
              </w:rPr>
            </w:pPr>
            <w:r>
              <w:rPr>
                <w:rFonts w:ascii="宋体" w:hAnsi="宋体" w:hint="eastAsia"/>
                <w:color w:val="000000"/>
                <w:kern w:val="0"/>
                <w:sz w:val="24"/>
              </w:rPr>
              <w:t>33</w:t>
            </w:r>
          </w:p>
        </w:tc>
        <w:tc>
          <w:tcPr>
            <w:tcW w:w="8010" w:type="dxa"/>
            <w:gridSpan w:val="2"/>
            <w:tcBorders>
              <w:tl2br w:val="nil"/>
              <w:tr2bl w:val="nil"/>
            </w:tcBorders>
            <w:vAlign w:val="center"/>
          </w:tcPr>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应建立企业产品保修服务配件保障管理办法，必要时联合外购关键部件的供应商，共同提供产品的售后服务。</w:t>
            </w:r>
          </w:p>
          <w:p w:rsidR="0012002F" w:rsidRDefault="0012002F" w:rsidP="00644ECC">
            <w:pPr>
              <w:widowControl/>
              <w:snapToGrid w:val="0"/>
              <w:ind w:firstLine="480"/>
              <w:jc w:val="left"/>
              <w:rPr>
                <w:rFonts w:ascii="宋体" w:hAnsi="宋体" w:hint="eastAsia"/>
                <w:color w:val="000000"/>
                <w:kern w:val="0"/>
                <w:sz w:val="24"/>
              </w:rPr>
            </w:pPr>
            <w:r>
              <w:rPr>
                <w:rFonts w:ascii="宋体" w:hAnsi="宋体" w:hint="eastAsia"/>
                <w:color w:val="000000"/>
                <w:kern w:val="0"/>
                <w:sz w:val="24"/>
              </w:rPr>
              <w:t>售后服务、备件供应应满足所有客户要求，能保证在产品的设计使用寿命期限内、在限定服务时间内向顾客提供备件、维修和咨询服务。</w:t>
            </w:r>
          </w:p>
        </w:tc>
      </w:tr>
    </w:tbl>
    <w:p w:rsidR="0012002F" w:rsidRDefault="0012002F" w:rsidP="0012002F">
      <w:pPr>
        <w:widowControl/>
        <w:snapToGrid w:val="0"/>
        <w:spacing w:line="360" w:lineRule="auto"/>
        <w:ind w:firstLine="602"/>
        <w:jc w:val="left"/>
        <w:rPr>
          <w:rFonts w:ascii="仿宋_GB2312" w:eastAsia="仿宋_GB2312" w:hAnsi="仿宋_GB2312" w:hint="eastAsia"/>
          <w:color w:val="000000"/>
          <w:kern w:val="0"/>
          <w:sz w:val="24"/>
        </w:rPr>
      </w:pPr>
      <w:r>
        <w:rPr>
          <w:rFonts w:ascii="仿宋_GB2312" w:eastAsia="仿宋_GB2312" w:hAnsi="仿宋_GB2312" w:hint="eastAsia"/>
          <w:color w:val="000000"/>
          <w:kern w:val="0"/>
          <w:sz w:val="24"/>
        </w:rPr>
        <w:t>注1：包括车长超过6米，且车身结构为覆盖件与加强梁共同承载的专用校车；</w:t>
      </w:r>
    </w:p>
    <w:p w:rsidR="0012002F" w:rsidRDefault="0012002F" w:rsidP="0012002F">
      <w:pPr>
        <w:widowControl/>
        <w:snapToGrid w:val="0"/>
        <w:spacing w:line="360" w:lineRule="auto"/>
        <w:ind w:firstLine="602"/>
        <w:jc w:val="left"/>
        <w:rPr>
          <w:rFonts w:ascii="仿宋_GB2312" w:eastAsia="仿宋_GB2312" w:hAnsi="仿宋_GB2312" w:hint="eastAsia"/>
          <w:color w:val="000000"/>
          <w:kern w:val="0"/>
          <w:sz w:val="24"/>
        </w:rPr>
      </w:pPr>
      <w:r>
        <w:rPr>
          <w:rFonts w:ascii="仿宋_GB2312" w:eastAsia="仿宋_GB2312" w:hAnsi="仿宋_GB2312" w:hint="eastAsia"/>
          <w:color w:val="000000"/>
          <w:kern w:val="0"/>
          <w:sz w:val="24"/>
        </w:rPr>
        <w:t>注2：包括车长不大于6米，且车身结构为具有车身骨架、包覆车身蒙皮的专用校车。</w:t>
      </w:r>
    </w:p>
    <w:p w:rsidR="0012002F" w:rsidRDefault="0012002F" w:rsidP="0012002F">
      <w:pPr>
        <w:widowControl/>
        <w:snapToGrid w:val="0"/>
        <w:spacing w:line="360" w:lineRule="auto"/>
        <w:ind w:firstLine="602"/>
        <w:jc w:val="left"/>
        <w:rPr>
          <w:rFonts w:ascii="仿宋_GB2312" w:eastAsia="仿宋_GB2312" w:hAnsi="仿宋_GB2312" w:hint="eastAsia"/>
          <w:color w:val="000000"/>
          <w:kern w:val="0"/>
          <w:sz w:val="24"/>
        </w:rPr>
      </w:pPr>
    </w:p>
    <w:p w:rsidR="0012002F" w:rsidRDefault="0012002F" w:rsidP="0012002F">
      <w:pPr>
        <w:widowControl/>
        <w:snapToGrid w:val="0"/>
        <w:spacing w:line="360" w:lineRule="auto"/>
        <w:ind w:firstLine="602"/>
        <w:jc w:val="left"/>
        <w:rPr>
          <w:rFonts w:ascii="仿宋_GB2312" w:eastAsia="仿宋_GB2312" w:hAnsi="仿宋_GB2312" w:hint="eastAsia"/>
          <w:color w:val="000000"/>
          <w:kern w:val="0"/>
          <w:sz w:val="32"/>
        </w:rPr>
      </w:pPr>
      <w:r>
        <w:rPr>
          <w:rFonts w:ascii="宋体" w:hAnsi="宋体" w:hint="eastAsia"/>
          <w:b/>
          <w:color w:val="000000"/>
          <w:kern w:val="0"/>
          <w:sz w:val="30"/>
        </w:rPr>
        <w:t>二、考核要求</w:t>
      </w:r>
    </w:p>
    <w:p w:rsidR="0012002F" w:rsidRDefault="0012002F" w:rsidP="0012002F">
      <w:pPr>
        <w:widowControl/>
        <w:snapToGrid w:val="0"/>
        <w:spacing w:line="360" w:lineRule="auto"/>
        <w:ind w:firstLine="602"/>
        <w:jc w:val="left"/>
        <w:rPr>
          <w:rFonts w:ascii="仿宋_GB2312" w:eastAsia="仿宋_GB2312" w:hAnsi="仿宋_GB2312" w:hint="eastAsia"/>
          <w:color w:val="000000"/>
          <w:kern w:val="0"/>
          <w:sz w:val="30"/>
        </w:rPr>
      </w:pPr>
      <w:r>
        <w:rPr>
          <w:rFonts w:ascii="仿宋_GB2312" w:eastAsia="仿宋_GB2312" w:hAnsi="仿宋_GB2312" w:hint="eastAsia"/>
          <w:color w:val="000000"/>
          <w:kern w:val="0"/>
          <w:sz w:val="30"/>
        </w:rPr>
        <w:t>1.标注“*”的项目为否决项。</w:t>
      </w:r>
    </w:p>
    <w:p w:rsidR="0012002F" w:rsidRDefault="0012002F" w:rsidP="0012002F">
      <w:pPr>
        <w:widowControl/>
        <w:snapToGrid w:val="0"/>
        <w:spacing w:line="360" w:lineRule="auto"/>
        <w:ind w:firstLine="602"/>
        <w:jc w:val="left"/>
        <w:rPr>
          <w:rFonts w:ascii="仿宋_GB2312" w:eastAsia="仿宋_GB2312" w:hAnsi="仿宋_GB2312" w:hint="eastAsia"/>
          <w:color w:val="000000"/>
          <w:kern w:val="0"/>
          <w:sz w:val="30"/>
        </w:rPr>
      </w:pPr>
      <w:r>
        <w:rPr>
          <w:rFonts w:ascii="仿宋_GB2312" w:eastAsia="仿宋_GB2312" w:hAnsi="仿宋_GB2312" w:hint="eastAsia"/>
          <w:color w:val="000000"/>
          <w:kern w:val="0"/>
          <w:sz w:val="30"/>
        </w:rPr>
        <w:t>2.考核判定原则：</w:t>
      </w:r>
    </w:p>
    <w:p w:rsidR="0012002F" w:rsidRDefault="0012002F" w:rsidP="0012002F">
      <w:pPr>
        <w:widowControl/>
        <w:snapToGrid w:val="0"/>
        <w:spacing w:line="360" w:lineRule="auto"/>
        <w:ind w:firstLine="602"/>
        <w:jc w:val="left"/>
        <w:rPr>
          <w:rFonts w:ascii="仿宋_GB2312" w:eastAsia="仿宋_GB2312" w:hAnsi="仿宋_GB2312" w:hint="eastAsia"/>
          <w:color w:val="000000"/>
          <w:kern w:val="0"/>
          <w:sz w:val="30"/>
        </w:rPr>
      </w:pPr>
      <w:r>
        <w:rPr>
          <w:rFonts w:ascii="仿宋_GB2312" w:eastAsia="仿宋_GB2312" w:hAnsi="仿宋_GB2312" w:hint="eastAsia"/>
          <w:color w:val="000000"/>
          <w:kern w:val="0"/>
          <w:sz w:val="30"/>
        </w:rPr>
        <w:t>（1）某条款部分内容不符合要求时，即视该条款为不符合；</w:t>
      </w:r>
    </w:p>
    <w:p w:rsidR="0012002F" w:rsidRDefault="0012002F" w:rsidP="0012002F">
      <w:pPr>
        <w:widowControl/>
        <w:snapToGrid w:val="0"/>
        <w:spacing w:line="360" w:lineRule="auto"/>
        <w:ind w:firstLine="602"/>
        <w:jc w:val="left"/>
        <w:rPr>
          <w:rFonts w:ascii="仿宋_GB2312" w:eastAsia="仿宋_GB2312" w:hAnsi="仿宋_GB2312" w:hint="eastAsia"/>
          <w:color w:val="000000"/>
          <w:kern w:val="0"/>
          <w:sz w:val="30"/>
        </w:rPr>
      </w:pPr>
      <w:r>
        <w:rPr>
          <w:rFonts w:ascii="仿宋_GB2312" w:eastAsia="仿宋_GB2312" w:hAnsi="仿宋_GB2312" w:hint="eastAsia"/>
          <w:color w:val="000000"/>
          <w:kern w:val="0"/>
          <w:sz w:val="30"/>
        </w:rPr>
        <w:t>（2）全部否决项均符合要求，一般项不符合的比例不超过考核适用一般项条款数的20%，考核结论为通过；其余情况均为不通过；</w:t>
      </w:r>
    </w:p>
    <w:p w:rsidR="0012002F" w:rsidRDefault="0012002F" w:rsidP="0012002F">
      <w:pPr>
        <w:widowControl/>
        <w:snapToGrid w:val="0"/>
        <w:spacing w:line="360" w:lineRule="auto"/>
        <w:ind w:firstLine="602"/>
        <w:jc w:val="left"/>
        <w:rPr>
          <w:rFonts w:ascii="仿宋_GB2312" w:eastAsia="仿宋_GB2312" w:hAnsi="仿宋_GB2312" w:hint="eastAsia"/>
          <w:color w:val="000000"/>
          <w:kern w:val="0"/>
          <w:sz w:val="30"/>
        </w:rPr>
      </w:pPr>
      <w:r>
        <w:rPr>
          <w:rFonts w:ascii="仿宋_GB2312" w:eastAsia="仿宋_GB2312" w:hAnsi="仿宋_GB2312" w:hint="eastAsia"/>
          <w:color w:val="000000"/>
          <w:kern w:val="0"/>
          <w:sz w:val="30"/>
        </w:rPr>
        <w:t>（3）当考核结论为不通过时，申请企业可在3个月内针对不符合项进行整改，验收达到第（2）条要求的，考核结论为通</w:t>
      </w:r>
      <w:r>
        <w:rPr>
          <w:rFonts w:ascii="仿宋_GB2312" w:eastAsia="仿宋_GB2312" w:hAnsi="仿宋_GB2312" w:hint="eastAsia"/>
          <w:color w:val="000000"/>
          <w:kern w:val="0"/>
          <w:sz w:val="30"/>
        </w:rPr>
        <w:lastRenderedPageBreak/>
        <w:t>过；验收未达到第（2）条要求的，结论为不通过。整改验收只能进行一次。</w:t>
      </w:r>
    </w:p>
    <w:p w:rsidR="0012002F" w:rsidRDefault="0012002F" w:rsidP="0012002F">
      <w:pPr>
        <w:widowControl/>
        <w:snapToGrid w:val="0"/>
        <w:spacing w:line="360" w:lineRule="auto"/>
        <w:ind w:firstLineChars="200" w:firstLine="600"/>
        <w:jc w:val="left"/>
        <w:textAlignment w:val="baseline"/>
        <w:rPr>
          <w:rFonts w:ascii="仿宋_GB2312" w:eastAsia="仿宋_GB2312" w:hAnsi="仿宋_GB2312" w:hint="eastAsia"/>
          <w:color w:val="000000"/>
          <w:kern w:val="0"/>
          <w:sz w:val="30"/>
        </w:rPr>
      </w:pPr>
      <w:r>
        <w:rPr>
          <w:rFonts w:ascii="仿宋_GB2312" w:eastAsia="仿宋_GB2312" w:hAnsi="仿宋_GB2312" w:hint="eastAsia"/>
          <w:color w:val="000000"/>
          <w:kern w:val="0"/>
          <w:sz w:val="30"/>
        </w:rPr>
        <w:t>3.已通过商用车准入规则考核的企业，不再考核重复条款。</w:t>
      </w:r>
    </w:p>
    <w:p w:rsidR="0012002F" w:rsidRDefault="0012002F" w:rsidP="0012002F">
      <w:pPr>
        <w:widowControl/>
        <w:snapToGrid w:val="0"/>
        <w:spacing w:line="360" w:lineRule="auto"/>
        <w:ind w:firstLineChars="200" w:firstLine="600"/>
        <w:jc w:val="left"/>
        <w:textAlignment w:val="baseline"/>
        <w:rPr>
          <w:rFonts w:ascii="仿宋_GB2312" w:eastAsia="仿宋_GB2312" w:hAnsi="仿宋_GB2312" w:hint="eastAsia"/>
          <w:color w:val="000000"/>
          <w:kern w:val="0"/>
          <w:sz w:val="30"/>
        </w:rPr>
      </w:pPr>
      <w:r>
        <w:rPr>
          <w:rFonts w:ascii="仿宋_GB2312" w:eastAsia="仿宋_GB2312" w:hAnsi="仿宋_GB2312" w:hint="eastAsia"/>
          <w:color w:val="000000"/>
          <w:kern w:val="0"/>
          <w:sz w:val="30"/>
        </w:rPr>
        <w:t>4.监督检查要求：</w:t>
      </w:r>
    </w:p>
    <w:p w:rsidR="0012002F" w:rsidRDefault="0012002F" w:rsidP="0012002F">
      <w:pPr>
        <w:widowControl/>
        <w:snapToGrid w:val="0"/>
        <w:spacing w:line="360" w:lineRule="auto"/>
        <w:ind w:firstLine="602"/>
        <w:jc w:val="left"/>
        <w:rPr>
          <w:rFonts w:ascii="仿宋_GB2312" w:eastAsia="仿宋_GB2312" w:hAnsi="仿宋_GB2312" w:hint="eastAsia"/>
          <w:color w:val="000000"/>
          <w:kern w:val="0"/>
          <w:sz w:val="30"/>
        </w:rPr>
      </w:pPr>
      <w:r>
        <w:rPr>
          <w:rFonts w:ascii="仿宋_GB2312" w:eastAsia="仿宋_GB2312" w:hAnsi="仿宋_GB2312" w:hint="eastAsia"/>
          <w:color w:val="000000"/>
          <w:kern w:val="0"/>
          <w:sz w:val="30"/>
        </w:rPr>
        <w:t>（1）所有否决项，第18条（设计更改记录）、第五部分“产品的生产一致性保证能力”（第21条至第30条），是监督检查的必查条款；</w:t>
      </w:r>
    </w:p>
    <w:p w:rsidR="0012002F" w:rsidRDefault="0012002F" w:rsidP="0012002F">
      <w:pPr>
        <w:widowControl/>
        <w:snapToGrid w:val="0"/>
        <w:spacing w:line="360" w:lineRule="auto"/>
        <w:ind w:firstLine="602"/>
        <w:jc w:val="left"/>
        <w:rPr>
          <w:rFonts w:ascii="仿宋_GB2312" w:eastAsia="仿宋_GB2312" w:hAnsi="仿宋_GB2312" w:hint="eastAsia"/>
          <w:color w:val="000000"/>
          <w:kern w:val="0"/>
          <w:sz w:val="30"/>
        </w:rPr>
      </w:pPr>
      <w:r>
        <w:rPr>
          <w:rFonts w:ascii="仿宋_GB2312" w:eastAsia="仿宋_GB2312" w:hAnsi="仿宋_GB2312" w:hint="eastAsia"/>
          <w:color w:val="000000"/>
          <w:kern w:val="0"/>
          <w:sz w:val="30"/>
        </w:rPr>
        <w:t>（2）准入考核或上次监督检查中出现不符合的条款，是监督检查的必查条款；</w:t>
      </w:r>
    </w:p>
    <w:p w:rsidR="0012002F" w:rsidRDefault="0012002F" w:rsidP="0012002F">
      <w:pPr>
        <w:widowControl/>
        <w:snapToGrid w:val="0"/>
        <w:spacing w:line="360" w:lineRule="auto"/>
        <w:ind w:firstLine="602"/>
        <w:jc w:val="left"/>
        <w:rPr>
          <w:rFonts w:ascii="仿宋_GB2312" w:eastAsia="仿宋_GB2312" w:hAnsi="仿宋_GB2312" w:hint="eastAsia"/>
          <w:color w:val="000000"/>
          <w:kern w:val="0"/>
          <w:sz w:val="32"/>
        </w:rPr>
      </w:pPr>
      <w:r>
        <w:rPr>
          <w:rFonts w:ascii="仿宋_GB2312" w:eastAsia="仿宋_GB2312" w:hAnsi="仿宋_GB2312" w:hint="eastAsia"/>
          <w:color w:val="000000"/>
          <w:kern w:val="0"/>
          <w:sz w:val="30"/>
        </w:rPr>
        <w:t>（3）其它一般项按照不低于20%的比例抽项检查，并覆盖企业运行周期内相关活动的变化情况。</w:t>
      </w:r>
    </w:p>
    <w:p w:rsidR="0051510D" w:rsidRDefault="0051510D" w:rsidP="0012002F"/>
    <w:sectPr w:rsidR="0051510D" w:rsidSect="0051510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2002F"/>
    <w:rsid w:val="0012002F"/>
    <w:rsid w:val="001B07F6"/>
    <w:rsid w:val="0051510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02F"/>
    <w:pPr>
      <w:widowControl w:val="0"/>
      <w:spacing w:line="240" w:lineRule="auto"/>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CharChar1Char">
    <w:name w:val="Char Char Char Char Char Char1 Char"/>
    <w:basedOn w:val="a"/>
    <w:rsid w:val="0012002F"/>
    <w:pPr>
      <w:widowControl/>
      <w:jc w:val="lef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756</Words>
  <Characters>4310</Characters>
  <Application>Microsoft Office Word</Application>
  <DocSecurity>0</DocSecurity>
  <Lines>35</Lines>
  <Paragraphs>10</Paragraphs>
  <ScaleCrop>false</ScaleCrop>
  <Company/>
  <LinksUpToDate>false</LinksUpToDate>
  <CharactersWithSpaces>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cns</dc:creator>
  <cp:lastModifiedBy>cns</cp:lastModifiedBy>
  <cp:revision>1</cp:revision>
  <dcterms:created xsi:type="dcterms:W3CDTF">2012-07-04T07:45:00Z</dcterms:created>
  <dcterms:modified xsi:type="dcterms:W3CDTF">2012-07-04T07:46:00Z</dcterms:modified>
</cp:coreProperties>
</file>