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adjustRightInd w:val="0"/>
        <w:snapToGrid w:val="0"/>
        <w:spacing w:before="95"/>
        <w:jc w:val="left"/>
        <w:rPr>
          <w:rFonts w:ascii="华文中宋" w:hAnsi="华文中宋" w:eastAsia="华文中宋" w:cs="华文中宋"/>
          <w:color w:val="000000"/>
          <w:spacing w:val="11"/>
          <w:kern w:val="0"/>
          <w:sz w:val="35"/>
          <w:szCs w:val="35"/>
        </w:rPr>
      </w:pPr>
      <w:r>
        <w:rPr>
          <w:rFonts w:hint="eastAsia" w:ascii="黑体" w:hAnsi="黑体" w:eastAsia="黑体" w:cs="黑体"/>
          <w:color w:val="000000"/>
          <w:spacing w:val="-19"/>
          <w:kern w:val="0"/>
          <w:sz w:val="32"/>
          <w:szCs w:val="32"/>
        </w:rPr>
        <w:t>附件 4</w:t>
      </w:r>
    </w:p>
    <w:p>
      <w:pPr>
        <w:widowControl/>
        <w:autoSpaceDE w:val="0"/>
        <w:autoSpaceDN w:val="0"/>
        <w:adjustRightInd w:val="0"/>
        <w:snapToGrid w:val="0"/>
        <w:spacing w:before="123"/>
        <w:jc w:val="center"/>
        <w:rPr>
          <w:rFonts w:ascii="宋体" w:hAnsi="宋体" w:eastAsia="宋体" w:cs="宋体"/>
          <w:b/>
          <w:bCs/>
          <w:color w:val="000000"/>
          <w:kern w:val="0"/>
          <w:sz w:val="36"/>
          <w:szCs w:val="36"/>
        </w:rPr>
      </w:pPr>
      <w:r>
        <w:rPr>
          <w:rFonts w:hint="eastAsia" w:ascii="宋体" w:hAnsi="宋体" w:eastAsia="宋体" w:cs="宋体"/>
          <w:b/>
          <w:bCs/>
          <w:color w:val="000000"/>
          <w:spacing w:val="11"/>
          <w:kern w:val="0"/>
          <w:sz w:val="36"/>
          <w:szCs w:val="36"/>
        </w:rPr>
        <w:t>中国新闻奖体育新闻参评作品推荐表和填报说明</w:t>
      </w:r>
    </w:p>
    <w:p>
      <w:pPr>
        <w:widowControl/>
        <w:autoSpaceDE w:val="0"/>
        <w:autoSpaceDN w:val="0"/>
        <w:adjustRightInd w:val="0"/>
        <w:snapToGrid w:val="0"/>
        <w:jc w:val="left"/>
        <w:rPr>
          <w:rFonts w:ascii="仿宋" w:hAnsi="仿宋" w:eastAsia="仿宋" w:cs="仿宋"/>
          <w:color w:val="000000"/>
          <w:kern w:val="0"/>
          <w:szCs w:val="21"/>
        </w:rPr>
      </w:pPr>
    </w:p>
    <w:tbl>
      <w:tblPr>
        <w:tblStyle w:val="7"/>
        <w:tblW w:w="94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7"/>
        <w:gridCol w:w="441"/>
        <w:gridCol w:w="944"/>
        <w:gridCol w:w="1558"/>
        <w:gridCol w:w="1447"/>
        <w:gridCol w:w="962"/>
        <w:gridCol w:w="567"/>
        <w:gridCol w:w="22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33" w:hRule="atLeast"/>
          <w:jc w:val="center"/>
        </w:trPr>
        <w:tc>
          <w:tcPr>
            <w:tcW w:w="1718" w:type="dxa"/>
            <w:gridSpan w:val="2"/>
            <w:vMerge w:val="restar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jc w:val="left"/>
              <w:rPr>
                <w:rFonts w:ascii="仿宋" w:hAnsi="仿宋" w:eastAsia="仿宋" w:cs="仿宋"/>
                <w:color w:val="000000"/>
                <w:kern w:val="0"/>
                <w:szCs w:val="21"/>
              </w:rPr>
            </w:pPr>
          </w:p>
          <w:p>
            <w:pPr>
              <w:widowControl/>
              <w:autoSpaceDE w:val="0"/>
              <w:autoSpaceDN w:val="0"/>
              <w:adjustRightInd w:val="0"/>
              <w:jc w:val="left"/>
              <w:rPr>
                <w:rFonts w:ascii="仿宋" w:hAnsi="仿宋" w:eastAsia="仿宋" w:cs="仿宋"/>
                <w:color w:val="000000"/>
                <w:kern w:val="0"/>
                <w:sz w:val="20"/>
                <w:szCs w:val="21"/>
              </w:rPr>
            </w:pPr>
          </w:p>
          <w:p>
            <w:pPr>
              <w:widowControl/>
              <w:autoSpaceDE w:val="0"/>
              <w:autoSpaceDN w:val="0"/>
              <w:adjustRightInd w:val="0"/>
              <w:spacing w:before="104"/>
              <w:ind w:left="221"/>
              <w:jc w:val="left"/>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作品</w:t>
            </w:r>
            <w:r>
              <w:rPr>
                <w:rFonts w:hint="eastAsia" w:ascii="仿宋" w:hAnsi="仿宋" w:eastAsia="仿宋" w:cs="仿宋"/>
                <w:color w:val="000000"/>
                <w:spacing w:val="-1"/>
                <w:kern w:val="0"/>
                <w:sz w:val="28"/>
                <w:szCs w:val="28"/>
              </w:rPr>
              <w:t>标题</w:t>
            </w:r>
          </w:p>
        </w:tc>
        <w:tc>
          <w:tcPr>
            <w:tcW w:w="3949"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spacing w:before="104"/>
              <w:ind w:left="221"/>
              <w:jc w:val="left"/>
              <w:rPr>
                <w:rFonts w:ascii="仿宋" w:hAnsi="仿宋" w:eastAsia="仿宋" w:cs="仿宋"/>
                <w:color w:val="000000"/>
                <w:kern w:val="0"/>
                <w:szCs w:val="21"/>
              </w:rPr>
            </w:pPr>
            <w:r>
              <w:rPr>
                <w:rFonts w:hint="eastAsia" w:ascii="仿宋" w:hAnsi="仿宋" w:eastAsia="仿宋" w:cs="仿宋"/>
                <w:color w:val="000000"/>
                <w:kern w:val="0"/>
                <w:sz w:val="28"/>
                <w:szCs w:val="28"/>
              </w:rPr>
              <w:t>“近观中国”习近平与冬奥主题系列评论</w:t>
            </w:r>
          </w:p>
        </w:tc>
        <w:tc>
          <w:tcPr>
            <w:tcW w:w="1529" w:type="dxa"/>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110"/>
              <w:ind w:left="155"/>
              <w:jc w:val="left"/>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参评项目</w:t>
            </w:r>
          </w:p>
        </w:tc>
        <w:tc>
          <w:tcPr>
            <w:tcW w:w="2299" w:type="dxa"/>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系列报道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20" w:hRule="atLeast"/>
          <w:jc w:val="center"/>
        </w:trPr>
        <w:tc>
          <w:tcPr>
            <w:tcW w:w="1718" w:type="dxa"/>
            <w:gridSpan w:val="2"/>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仿宋" w:hAnsi="仿宋" w:eastAsia="仿宋" w:cs="仿宋"/>
                <w:color w:val="000000"/>
                <w:kern w:val="0"/>
                <w:sz w:val="28"/>
                <w:szCs w:val="28"/>
              </w:rPr>
            </w:pPr>
          </w:p>
        </w:tc>
        <w:tc>
          <w:tcPr>
            <w:tcW w:w="3949" w:type="dxa"/>
            <w:gridSpan w:val="3"/>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仿宋" w:hAnsi="仿宋" w:eastAsia="仿宋" w:cs="仿宋"/>
                <w:color w:val="000000"/>
                <w:kern w:val="0"/>
                <w:szCs w:val="21"/>
              </w:rPr>
            </w:pPr>
          </w:p>
        </w:tc>
        <w:tc>
          <w:tcPr>
            <w:tcW w:w="962"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91"/>
              <w:ind w:left="150"/>
              <w:jc w:val="left"/>
              <w:rPr>
                <w:rFonts w:ascii="仿宋" w:hAnsi="仿宋" w:eastAsia="仿宋" w:cs="仿宋"/>
                <w:color w:val="000000"/>
                <w:kern w:val="0"/>
                <w:sz w:val="28"/>
                <w:szCs w:val="28"/>
              </w:rPr>
            </w:pPr>
            <w:r>
              <w:rPr>
                <w:rFonts w:hint="eastAsia" w:ascii="仿宋" w:hAnsi="仿宋" w:eastAsia="仿宋" w:cs="仿宋"/>
                <w:color w:val="000000"/>
                <w:spacing w:val="-3"/>
                <w:kern w:val="0"/>
                <w:sz w:val="28"/>
                <w:szCs w:val="28"/>
              </w:rPr>
              <w:t>体裁</w:t>
            </w:r>
          </w:p>
        </w:tc>
        <w:tc>
          <w:tcPr>
            <w:tcW w:w="2866" w:type="dxa"/>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spacing w:before="166"/>
              <w:ind w:left="115" w:right="106" w:firstLine="4"/>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系列报道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7" w:hRule="atLeast"/>
          <w:jc w:val="center"/>
        </w:trPr>
        <w:tc>
          <w:tcPr>
            <w:tcW w:w="1718" w:type="dxa"/>
            <w:gridSpan w:val="2"/>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仿宋" w:hAnsi="仿宋" w:eastAsia="仿宋" w:cs="仿宋"/>
                <w:color w:val="000000"/>
                <w:kern w:val="0"/>
                <w:sz w:val="28"/>
                <w:szCs w:val="28"/>
              </w:rPr>
            </w:pPr>
          </w:p>
        </w:tc>
        <w:tc>
          <w:tcPr>
            <w:tcW w:w="3949" w:type="dxa"/>
            <w:gridSpan w:val="3"/>
            <w:vMerge w:val="continue"/>
            <w:tcBorders>
              <w:top w:val="single" w:color="000000" w:sz="2" w:space="0"/>
              <w:left w:val="single" w:color="000000" w:sz="2" w:space="0"/>
              <w:bottom w:val="single" w:color="000000" w:sz="2" w:space="0"/>
              <w:right w:val="single" w:color="000000" w:sz="2" w:space="0"/>
            </w:tcBorders>
            <w:vAlign w:val="center"/>
          </w:tcPr>
          <w:p>
            <w:pPr>
              <w:widowControl/>
              <w:jc w:val="left"/>
              <w:rPr>
                <w:rFonts w:ascii="仿宋" w:hAnsi="仿宋" w:eastAsia="仿宋" w:cs="仿宋"/>
                <w:color w:val="000000"/>
                <w:kern w:val="0"/>
                <w:szCs w:val="21"/>
              </w:rPr>
            </w:pPr>
          </w:p>
        </w:tc>
        <w:tc>
          <w:tcPr>
            <w:tcW w:w="962"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98"/>
              <w:ind w:left="146"/>
              <w:jc w:val="left"/>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语</w:t>
            </w:r>
            <w:r>
              <w:rPr>
                <w:rFonts w:hint="eastAsia" w:ascii="仿宋" w:hAnsi="仿宋" w:eastAsia="仿宋" w:cs="仿宋"/>
                <w:color w:val="000000"/>
                <w:spacing w:val="-1"/>
                <w:kern w:val="0"/>
                <w:sz w:val="28"/>
                <w:szCs w:val="28"/>
              </w:rPr>
              <w:t>种</w:t>
            </w:r>
          </w:p>
        </w:tc>
        <w:tc>
          <w:tcPr>
            <w:tcW w:w="2866" w:type="dxa"/>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Cs w:val="21"/>
              </w:rPr>
            </w:pPr>
            <w:r>
              <w:rPr>
                <w:rFonts w:hint="eastAsia" w:ascii="仿宋" w:hAnsi="仿宋" w:eastAsia="仿宋" w:cs="仿宋"/>
                <w:color w:val="000000"/>
                <w:kern w:val="0"/>
                <w:sz w:val="28"/>
                <w:szCs w:val="28"/>
              </w:rPr>
              <w:t>中文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0" w:hRule="atLeast"/>
          <w:jc w:val="center"/>
        </w:trPr>
        <w:tc>
          <w:tcPr>
            <w:tcW w:w="1718" w:type="dxa"/>
            <w:gridSpan w:val="2"/>
            <w:tcBorders>
              <w:top w:val="single" w:color="000000" w:sz="2" w:space="0"/>
              <w:left w:val="single" w:color="000000" w:sz="2" w:space="0"/>
              <w:bottom w:val="single" w:color="000000" w:sz="2" w:space="0"/>
              <w:right w:val="single" w:color="000000" w:sz="2" w:space="0"/>
            </w:tcBorders>
          </w:tcPr>
          <w:p>
            <w:pPr>
              <w:widowControl/>
              <w:tabs>
                <w:tab w:val="left" w:pos="281"/>
              </w:tabs>
              <w:autoSpaceDE w:val="0"/>
              <w:autoSpaceDN w:val="0"/>
              <w:adjustRightInd w:val="0"/>
              <w:spacing w:before="106"/>
              <w:ind w:left="166" w:right="144" w:firstLine="241"/>
              <w:jc w:val="left"/>
              <w:rPr>
                <w:rFonts w:ascii="仿宋" w:hAnsi="仿宋" w:eastAsia="仿宋" w:cs="仿宋"/>
                <w:color w:val="000000"/>
                <w:kern w:val="0"/>
                <w:sz w:val="23"/>
                <w:szCs w:val="23"/>
              </w:rPr>
            </w:pPr>
            <w:r>
              <w:rPr>
                <w:rFonts w:hint="eastAsia" w:ascii="仿宋" w:hAnsi="仿宋" w:eastAsia="仿宋" w:cs="仿宋"/>
                <w:color w:val="000000"/>
                <w:spacing w:val="6"/>
                <w:kern w:val="0"/>
                <w:sz w:val="28"/>
                <w:szCs w:val="28"/>
              </w:rPr>
              <w:t>作  者</w:t>
            </w:r>
            <w:r>
              <w:rPr>
                <w:rFonts w:hint="eastAsia" w:ascii="仿宋" w:hAnsi="仿宋" w:eastAsia="仿宋" w:cs="仿宋"/>
                <w:color w:val="000000"/>
                <w:kern w:val="0"/>
                <w:sz w:val="28"/>
                <w:szCs w:val="28"/>
              </w:rPr>
              <w:t xml:space="preserve">  </w:t>
            </w:r>
            <w:r>
              <w:rPr>
                <w:rFonts w:hint="eastAsia" w:ascii="仿宋" w:hAnsi="仿宋" w:eastAsia="仿宋" w:cs="仿宋"/>
                <w:color w:val="000000"/>
                <w:kern w:val="0"/>
                <w:sz w:val="23"/>
                <w:szCs w:val="23"/>
              </w:rPr>
              <w:tab/>
            </w:r>
            <w:r>
              <w:rPr>
                <w:rFonts w:hint="eastAsia" w:ascii="仿宋" w:hAnsi="仿宋" w:eastAsia="仿宋" w:cs="仿宋"/>
                <w:color w:val="000000"/>
                <w:spacing w:val="-9"/>
                <w:kern w:val="0"/>
                <w:sz w:val="23"/>
                <w:szCs w:val="23"/>
              </w:rPr>
              <w:t>(</w:t>
            </w:r>
            <w:r>
              <w:rPr>
                <w:rFonts w:hint="eastAsia" w:ascii="仿宋" w:hAnsi="仿宋" w:eastAsia="仿宋" w:cs="仿宋"/>
                <w:color w:val="000000"/>
                <w:spacing w:val="-8"/>
                <w:kern w:val="0"/>
                <w:sz w:val="23"/>
                <w:szCs w:val="23"/>
              </w:rPr>
              <w:t>主创人员)</w:t>
            </w:r>
          </w:p>
        </w:tc>
        <w:tc>
          <w:tcPr>
            <w:tcW w:w="2502" w:type="dxa"/>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31"/>
              <w:ind w:left="117" w:right="106" w:hanging="4"/>
              <w:rPr>
                <w:rFonts w:ascii="仿宋" w:hAnsi="仿宋" w:eastAsia="仿宋" w:cs="仿宋"/>
                <w:color w:val="000000"/>
                <w:kern w:val="0"/>
                <w:sz w:val="28"/>
                <w:szCs w:val="28"/>
              </w:rPr>
            </w:pPr>
            <w:r>
              <w:rPr>
                <w:rFonts w:hint="eastAsia" w:ascii="仿宋" w:hAnsi="仿宋" w:eastAsia="仿宋" w:cs="仿宋"/>
                <w:color w:val="000000"/>
                <w:kern w:val="0"/>
                <w:sz w:val="28"/>
                <w:szCs w:val="28"/>
              </w:rPr>
              <w:t>陈陆军、张红、郭金超、</w:t>
            </w:r>
            <w:r>
              <w:rPr>
                <w:rFonts w:hint="eastAsia" w:ascii="仿宋" w:hAnsi="仿宋" w:eastAsia="仿宋" w:cs="仿宋"/>
                <w:color w:val="000000"/>
                <w:spacing w:val="6"/>
                <w:kern w:val="0"/>
                <w:sz w:val="28"/>
                <w:szCs w:val="28"/>
              </w:rPr>
              <w:t>梁晓辉、邢翀、黄钰钦、聂芝芯</w:t>
            </w:r>
          </w:p>
        </w:tc>
        <w:tc>
          <w:tcPr>
            <w:tcW w:w="1447"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68"/>
              <w:ind w:left="509"/>
              <w:jc w:val="left"/>
              <w:rPr>
                <w:rFonts w:ascii="仿宋" w:hAnsi="仿宋" w:eastAsia="仿宋" w:cs="仿宋"/>
                <w:color w:val="000000"/>
                <w:kern w:val="0"/>
                <w:sz w:val="28"/>
                <w:szCs w:val="28"/>
              </w:rPr>
            </w:pPr>
            <w:r>
              <w:rPr>
                <w:rFonts w:hint="eastAsia" w:ascii="仿宋" w:hAnsi="仿宋" w:eastAsia="仿宋" w:cs="仿宋"/>
                <w:color w:val="000000"/>
                <w:spacing w:val="-6"/>
                <w:kern w:val="0"/>
                <w:sz w:val="28"/>
                <w:szCs w:val="28"/>
              </w:rPr>
              <w:t>编辑</w:t>
            </w:r>
          </w:p>
        </w:tc>
        <w:tc>
          <w:tcPr>
            <w:tcW w:w="3828" w:type="dxa"/>
            <w:gridSpan w:val="3"/>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8"/>
                <w:szCs w:val="28"/>
              </w:rPr>
            </w:pPr>
            <w:r>
              <w:rPr>
                <w:rFonts w:hint="eastAsia" w:ascii="仿宋" w:hAnsi="仿宋" w:eastAsia="仿宋" w:cs="仿宋"/>
                <w:color w:val="000000"/>
                <w:kern w:val="0"/>
                <w:sz w:val="28"/>
                <w:szCs w:val="28"/>
              </w:rPr>
              <w:t>夏宇华、唐伟杰、马学玲</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72" w:hRule="atLeast"/>
          <w:jc w:val="center"/>
        </w:trPr>
        <w:tc>
          <w:tcPr>
            <w:tcW w:w="1718" w:type="dxa"/>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61"/>
              <w:ind w:left="219"/>
              <w:jc w:val="left"/>
              <w:rPr>
                <w:rFonts w:ascii="仿宋" w:hAnsi="仿宋" w:eastAsia="仿宋" w:cs="仿宋"/>
                <w:color w:val="000000"/>
                <w:kern w:val="0"/>
                <w:sz w:val="28"/>
                <w:szCs w:val="28"/>
              </w:rPr>
            </w:pPr>
            <w:r>
              <w:rPr>
                <w:rFonts w:hint="eastAsia" w:ascii="仿宋" w:hAnsi="仿宋" w:eastAsia="仿宋" w:cs="仿宋"/>
                <w:color w:val="000000"/>
                <w:spacing w:val="-1"/>
                <w:kern w:val="0"/>
                <w:sz w:val="28"/>
                <w:szCs w:val="28"/>
              </w:rPr>
              <w:t>原创单位</w:t>
            </w:r>
          </w:p>
        </w:tc>
        <w:tc>
          <w:tcPr>
            <w:tcW w:w="2502" w:type="dxa"/>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中国新闻社</w:t>
            </w:r>
          </w:p>
        </w:tc>
        <w:tc>
          <w:tcPr>
            <w:tcW w:w="1447"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61"/>
              <w:ind w:left="226"/>
              <w:jc w:val="left"/>
              <w:rPr>
                <w:rFonts w:ascii="仿宋" w:hAnsi="仿宋" w:eastAsia="仿宋" w:cs="仿宋"/>
                <w:color w:val="000000"/>
                <w:kern w:val="0"/>
                <w:sz w:val="28"/>
                <w:szCs w:val="28"/>
              </w:rPr>
            </w:pPr>
            <w:r>
              <w:rPr>
                <w:rFonts w:hint="eastAsia" w:ascii="仿宋" w:hAnsi="仿宋" w:eastAsia="仿宋" w:cs="仿宋"/>
                <w:color w:val="000000"/>
                <w:spacing w:val="-3"/>
                <w:kern w:val="0"/>
                <w:sz w:val="28"/>
                <w:szCs w:val="28"/>
              </w:rPr>
              <w:t>刊</w:t>
            </w:r>
            <w:r>
              <w:rPr>
                <w:rFonts w:hint="eastAsia" w:ascii="仿宋" w:hAnsi="仿宋" w:eastAsia="仿宋" w:cs="仿宋"/>
                <w:color w:val="000000"/>
                <w:spacing w:val="-2"/>
                <w:kern w:val="0"/>
                <w:sz w:val="28"/>
                <w:szCs w:val="28"/>
              </w:rPr>
              <w:t>播单位</w:t>
            </w:r>
          </w:p>
        </w:tc>
        <w:tc>
          <w:tcPr>
            <w:tcW w:w="382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中国新闻社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61" w:hRule="atLeast"/>
          <w:jc w:val="center"/>
        </w:trPr>
        <w:tc>
          <w:tcPr>
            <w:tcW w:w="1718" w:type="dxa"/>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88"/>
              <w:ind w:left="193" w:right="157" w:firstLine="30"/>
              <w:jc w:val="left"/>
              <w:rPr>
                <w:rFonts w:ascii="仿宋" w:hAnsi="仿宋" w:eastAsia="仿宋" w:cs="仿宋"/>
                <w:color w:val="000000"/>
                <w:kern w:val="0"/>
                <w:sz w:val="22"/>
              </w:rPr>
            </w:pPr>
            <w:r>
              <w:rPr>
                <w:rFonts w:hint="eastAsia" w:ascii="仿宋" w:hAnsi="仿宋" w:eastAsia="仿宋" w:cs="仿宋"/>
                <w:color w:val="000000"/>
                <w:spacing w:val="18"/>
                <w:kern w:val="0"/>
                <w:sz w:val="26"/>
                <w:szCs w:val="26"/>
              </w:rPr>
              <w:t>刊播版</w:t>
            </w:r>
            <w:r>
              <w:rPr>
                <w:rFonts w:hint="eastAsia" w:ascii="仿宋" w:hAnsi="仿宋" w:eastAsia="仿宋" w:cs="仿宋"/>
                <w:color w:val="000000"/>
                <w:spacing w:val="17"/>
                <w:kern w:val="0"/>
                <w:sz w:val="26"/>
                <w:szCs w:val="26"/>
              </w:rPr>
              <w:t>面</w:t>
            </w:r>
            <w:r>
              <w:rPr>
                <w:rFonts w:hint="eastAsia" w:ascii="仿宋" w:hAnsi="仿宋" w:eastAsia="仿宋" w:cs="仿宋"/>
                <w:color w:val="000000"/>
                <w:kern w:val="0"/>
                <w:sz w:val="26"/>
                <w:szCs w:val="26"/>
              </w:rPr>
              <w:t xml:space="preserve"> </w:t>
            </w:r>
            <w:r>
              <w:rPr>
                <w:rFonts w:hint="eastAsia" w:ascii="仿宋" w:hAnsi="仿宋" w:eastAsia="仿宋" w:cs="仿宋"/>
                <w:color w:val="000000"/>
                <w:spacing w:val="-9"/>
                <w:kern w:val="0"/>
                <w:sz w:val="26"/>
                <w:szCs w:val="26"/>
              </w:rPr>
              <w:t>(</w:t>
            </w:r>
            <w:r>
              <w:rPr>
                <w:rFonts w:hint="eastAsia" w:ascii="仿宋" w:hAnsi="仿宋" w:eastAsia="仿宋" w:cs="仿宋"/>
                <w:color w:val="000000"/>
                <w:spacing w:val="-6"/>
                <w:kern w:val="0"/>
                <w:sz w:val="22"/>
              </w:rPr>
              <w:t>名称和版次)</w:t>
            </w:r>
          </w:p>
        </w:tc>
        <w:tc>
          <w:tcPr>
            <w:tcW w:w="2502" w:type="dxa"/>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spacing w:before="149"/>
              <w:ind w:left="120" w:right="106" w:hanging="3"/>
              <w:jc w:val="center"/>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电讯通稿</w:t>
            </w:r>
          </w:p>
        </w:tc>
        <w:tc>
          <w:tcPr>
            <w:tcW w:w="1447"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58"/>
              <w:ind w:left="226"/>
              <w:jc w:val="left"/>
              <w:rPr>
                <w:rFonts w:ascii="仿宋" w:hAnsi="仿宋" w:eastAsia="仿宋" w:cs="仿宋"/>
                <w:color w:val="000000"/>
                <w:kern w:val="0"/>
                <w:sz w:val="28"/>
                <w:szCs w:val="28"/>
              </w:rPr>
            </w:pPr>
            <w:r>
              <w:rPr>
                <w:rFonts w:hint="eastAsia" w:ascii="仿宋" w:hAnsi="仿宋" w:eastAsia="仿宋" w:cs="仿宋"/>
                <w:color w:val="000000"/>
                <w:spacing w:val="-3"/>
                <w:kern w:val="0"/>
                <w:sz w:val="28"/>
                <w:szCs w:val="28"/>
              </w:rPr>
              <w:t>刊</w:t>
            </w:r>
            <w:r>
              <w:rPr>
                <w:rFonts w:hint="eastAsia" w:ascii="仿宋" w:hAnsi="仿宋" w:eastAsia="仿宋" w:cs="仿宋"/>
                <w:color w:val="000000"/>
                <w:spacing w:val="-2"/>
                <w:kern w:val="0"/>
                <w:sz w:val="28"/>
                <w:szCs w:val="28"/>
              </w:rPr>
              <w:t>播日期</w:t>
            </w:r>
          </w:p>
        </w:tc>
        <w:tc>
          <w:tcPr>
            <w:tcW w:w="382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spacing w:before="149"/>
              <w:ind w:left="113" w:right="123"/>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2</w:t>
            </w:r>
            <w:r>
              <w:rPr>
                <w:rFonts w:ascii="仿宋" w:hAnsi="仿宋" w:eastAsia="仿宋" w:cs="仿宋"/>
                <w:color w:val="000000"/>
                <w:kern w:val="0"/>
                <w:sz w:val="28"/>
                <w:szCs w:val="28"/>
              </w:rPr>
              <w:t>022</w:t>
            </w:r>
            <w:r>
              <w:rPr>
                <w:rFonts w:hint="eastAsia" w:ascii="仿宋" w:hAnsi="仿宋" w:eastAsia="仿宋" w:cs="仿宋"/>
                <w:color w:val="000000"/>
                <w:kern w:val="0"/>
                <w:sz w:val="28"/>
                <w:szCs w:val="28"/>
              </w:rPr>
              <w:t>年1月3</w:t>
            </w:r>
            <w:r>
              <w:rPr>
                <w:rFonts w:ascii="仿宋" w:hAnsi="仿宋" w:eastAsia="仿宋" w:cs="仿宋"/>
                <w:color w:val="000000"/>
                <w:kern w:val="0"/>
                <w:sz w:val="28"/>
                <w:szCs w:val="28"/>
              </w:rPr>
              <w:t>0</w:t>
            </w:r>
            <w:r>
              <w:rPr>
                <w:rFonts w:hint="eastAsia" w:ascii="仿宋" w:hAnsi="仿宋" w:eastAsia="仿宋" w:cs="仿宋"/>
                <w:color w:val="000000"/>
                <w:kern w:val="0"/>
                <w:sz w:val="28"/>
                <w:szCs w:val="28"/>
              </w:rPr>
              <w:t>至2月2日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50" w:hRule="atLeast"/>
          <w:jc w:val="center"/>
        </w:trPr>
        <w:tc>
          <w:tcPr>
            <w:tcW w:w="2662" w:type="dxa"/>
            <w:gridSpan w:val="3"/>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spacing w:before="277"/>
              <w:ind w:left="113"/>
              <w:jc w:val="left"/>
              <w:rPr>
                <w:rFonts w:ascii="仿宋" w:hAnsi="仿宋" w:eastAsia="仿宋" w:cs="仿宋"/>
                <w:color w:val="000000"/>
                <w:kern w:val="0"/>
                <w:sz w:val="28"/>
                <w:szCs w:val="28"/>
              </w:rPr>
            </w:pPr>
            <w:r>
              <w:rPr>
                <w:rFonts w:hint="eastAsia" w:ascii="仿宋" w:hAnsi="仿宋" w:eastAsia="仿宋" w:cs="仿宋"/>
                <w:color w:val="000000"/>
                <w:spacing w:val="-19"/>
                <w:kern w:val="0"/>
                <w:sz w:val="28"/>
                <w:szCs w:val="28"/>
              </w:rPr>
              <w:t>新</w:t>
            </w:r>
            <w:r>
              <w:rPr>
                <w:rFonts w:hint="eastAsia" w:ascii="仿宋" w:hAnsi="仿宋" w:eastAsia="仿宋" w:cs="仿宋"/>
                <w:color w:val="000000"/>
                <w:spacing w:val="-12"/>
                <w:kern w:val="0"/>
                <w:sz w:val="28"/>
                <w:szCs w:val="28"/>
              </w:rPr>
              <w:t>媒体作品填报网址</w:t>
            </w:r>
          </w:p>
        </w:tc>
        <w:tc>
          <w:tcPr>
            <w:tcW w:w="6833" w:type="dxa"/>
            <w:gridSpan w:val="5"/>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jc w:val="left"/>
              <w:rPr>
                <w:rFonts w:ascii="仿宋" w:hAnsi="仿宋" w:eastAsia="仿宋" w:cs="仿宋"/>
                <w:color w:val="000000"/>
                <w:kern w:val="0"/>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846" w:hRule="atLeast"/>
          <w:jc w:val="center"/>
        </w:trPr>
        <w:tc>
          <w:tcPr>
            <w:tcW w:w="1277" w:type="dxa"/>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jc w:val="left"/>
              <w:rPr>
                <w:rFonts w:ascii="仿宋" w:hAnsi="仿宋" w:eastAsia="仿宋" w:cs="仿宋"/>
                <w:color w:val="000000"/>
                <w:kern w:val="0"/>
                <w:sz w:val="20"/>
                <w:szCs w:val="21"/>
              </w:rPr>
            </w:pPr>
          </w:p>
          <w:p>
            <w:pPr>
              <w:widowControl/>
              <w:autoSpaceDE w:val="0"/>
              <w:autoSpaceDN w:val="0"/>
              <w:adjustRightInd w:val="0"/>
              <w:spacing w:before="103"/>
              <w:ind w:left="565"/>
              <w:jc w:val="left"/>
              <w:rPr>
                <w:rFonts w:ascii="仿宋" w:hAnsi="仿宋" w:eastAsia="仿宋" w:cs="仿宋"/>
                <w:color w:val="000000"/>
                <w:kern w:val="0"/>
                <w:sz w:val="28"/>
                <w:szCs w:val="28"/>
              </w:rPr>
            </w:pPr>
            <w:r>
              <w:rPr>
                <w:rFonts w:hint="eastAsia" w:ascii="仿宋" w:hAnsi="仿宋" w:eastAsia="仿宋" w:cs="仿宋"/>
                <w:color w:val="000000"/>
                <w:kern w:val="0"/>
                <w:position w:val="4"/>
                <w:sz w:val="28"/>
                <w:szCs w:val="28"/>
              </w:rPr>
              <w:t>︵</w:t>
            </w:r>
          </w:p>
          <w:p>
            <w:pPr>
              <w:widowControl/>
              <w:autoSpaceDE w:val="0"/>
              <w:autoSpaceDN w:val="0"/>
              <w:adjustRightInd w:val="0"/>
              <w:spacing w:before="10"/>
              <w:ind w:left="274"/>
              <w:jc w:val="left"/>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作</w:t>
            </w:r>
            <w:r>
              <w:rPr>
                <w:rFonts w:hint="eastAsia" w:ascii="仿宋" w:hAnsi="仿宋" w:eastAsia="仿宋" w:cs="仿宋"/>
                <w:color w:val="000000"/>
                <w:spacing w:val="-1"/>
                <w:kern w:val="0"/>
                <w:sz w:val="28"/>
                <w:szCs w:val="28"/>
              </w:rPr>
              <w:t>采</w:t>
            </w:r>
          </w:p>
          <w:p>
            <w:pPr>
              <w:widowControl/>
              <w:autoSpaceDE w:val="0"/>
              <w:autoSpaceDN w:val="0"/>
              <w:adjustRightInd w:val="0"/>
              <w:spacing w:before="1"/>
              <w:ind w:left="283"/>
              <w:jc w:val="left"/>
              <w:rPr>
                <w:rFonts w:ascii="仿宋" w:hAnsi="仿宋" w:eastAsia="仿宋" w:cs="仿宋"/>
                <w:color w:val="000000"/>
                <w:kern w:val="0"/>
                <w:sz w:val="28"/>
                <w:szCs w:val="28"/>
              </w:rPr>
            </w:pPr>
            <w:r>
              <w:rPr>
                <w:rFonts w:hint="eastAsia" w:ascii="仿宋" w:hAnsi="仿宋" w:eastAsia="仿宋" w:cs="仿宋"/>
                <w:color w:val="000000"/>
                <w:spacing w:val="-6"/>
                <w:kern w:val="0"/>
                <w:sz w:val="28"/>
                <w:szCs w:val="28"/>
              </w:rPr>
              <w:t>品编</w:t>
            </w:r>
          </w:p>
          <w:p>
            <w:pPr>
              <w:widowControl/>
              <w:autoSpaceDE w:val="0"/>
              <w:autoSpaceDN w:val="0"/>
              <w:adjustRightInd w:val="0"/>
              <w:spacing w:before="6"/>
              <w:ind w:left="278"/>
              <w:jc w:val="left"/>
              <w:rPr>
                <w:rFonts w:ascii="仿宋" w:hAnsi="仿宋" w:eastAsia="仿宋" w:cs="仿宋"/>
                <w:color w:val="000000"/>
                <w:kern w:val="0"/>
                <w:sz w:val="28"/>
                <w:szCs w:val="28"/>
              </w:rPr>
            </w:pPr>
            <w:r>
              <w:rPr>
                <w:rFonts w:hint="eastAsia" w:ascii="仿宋" w:hAnsi="仿宋" w:eastAsia="仿宋" w:cs="仿宋"/>
                <w:color w:val="000000"/>
                <w:spacing w:val="-5"/>
                <w:kern w:val="0"/>
                <w:sz w:val="28"/>
                <w:szCs w:val="28"/>
              </w:rPr>
              <w:t>简</w:t>
            </w:r>
            <w:r>
              <w:rPr>
                <w:rFonts w:hint="eastAsia" w:ascii="仿宋" w:hAnsi="仿宋" w:eastAsia="仿宋" w:cs="仿宋"/>
                <w:color w:val="000000"/>
                <w:spacing w:val="-3"/>
                <w:kern w:val="0"/>
                <w:sz w:val="28"/>
                <w:szCs w:val="28"/>
              </w:rPr>
              <w:t>过</w:t>
            </w:r>
          </w:p>
          <w:p>
            <w:pPr>
              <w:widowControl/>
              <w:autoSpaceDE w:val="0"/>
              <w:autoSpaceDN w:val="0"/>
              <w:adjustRightInd w:val="0"/>
              <w:spacing w:before="13"/>
              <w:ind w:left="276"/>
              <w:jc w:val="left"/>
              <w:rPr>
                <w:rFonts w:ascii="仿宋" w:hAnsi="仿宋" w:eastAsia="仿宋" w:cs="仿宋"/>
                <w:color w:val="000000"/>
                <w:kern w:val="0"/>
                <w:sz w:val="28"/>
                <w:szCs w:val="28"/>
              </w:rPr>
            </w:pPr>
            <w:r>
              <w:rPr>
                <w:rFonts w:hint="eastAsia" w:ascii="仿宋" w:hAnsi="仿宋" w:eastAsia="仿宋" w:cs="仿宋"/>
                <w:color w:val="000000"/>
                <w:spacing w:val="-4"/>
                <w:kern w:val="0"/>
                <w:sz w:val="28"/>
                <w:szCs w:val="28"/>
              </w:rPr>
              <w:t>介</w:t>
            </w:r>
            <w:r>
              <w:rPr>
                <w:rFonts w:hint="eastAsia" w:ascii="仿宋" w:hAnsi="仿宋" w:eastAsia="仿宋" w:cs="仿宋"/>
                <w:color w:val="000000"/>
                <w:spacing w:val="-2"/>
                <w:kern w:val="0"/>
                <w:sz w:val="28"/>
                <w:szCs w:val="28"/>
              </w:rPr>
              <w:t>程</w:t>
            </w:r>
          </w:p>
          <w:p>
            <w:pPr>
              <w:widowControl/>
              <w:autoSpaceDE w:val="0"/>
              <w:autoSpaceDN w:val="0"/>
              <w:adjustRightInd w:val="0"/>
              <w:spacing w:before="35"/>
              <w:ind w:left="564"/>
              <w:jc w:val="left"/>
              <w:rPr>
                <w:rFonts w:ascii="仿宋" w:hAnsi="仿宋" w:eastAsia="仿宋" w:cs="仿宋"/>
                <w:color w:val="000000"/>
                <w:kern w:val="0"/>
                <w:sz w:val="28"/>
                <w:szCs w:val="28"/>
              </w:rPr>
            </w:pPr>
            <w:r>
              <w:rPr>
                <w:rFonts w:hint="eastAsia" w:ascii="仿宋" w:hAnsi="仿宋" w:eastAsia="仿宋" w:cs="仿宋"/>
                <w:color w:val="000000"/>
                <w:kern w:val="0"/>
                <w:position w:val="-3"/>
                <w:sz w:val="28"/>
                <w:szCs w:val="28"/>
              </w:rPr>
              <w:t>︶</w:t>
            </w:r>
          </w:p>
        </w:tc>
        <w:tc>
          <w:tcPr>
            <w:tcW w:w="8218" w:type="dxa"/>
            <w:gridSpan w:val="7"/>
            <w:tcBorders>
              <w:top w:val="single" w:color="000000" w:sz="2" w:space="0"/>
              <w:left w:val="single" w:color="000000" w:sz="2" w:space="0"/>
              <w:bottom w:val="single" w:color="000000" w:sz="2" w:space="0"/>
              <w:right w:val="single" w:color="000000" w:sz="2" w:space="0"/>
            </w:tcBorders>
          </w:tcPr>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ascii="仿宋" w:hAnsi="仿宋" w:eastAsia="仿宋" w:cs="仿宋"/>
                <w:color w:val="000000"/>
                <w:kern w:val="0"/>
                <w:sz w:val="20"/>
                <w:szCs w:val="21"/>
              </w:rPr>
            </w:pPr>
            <w:r>
              <w:rPr>
                <w:rFonts w:hint="eastAsia" w:ascii="仿宋" w:hAnsi="仿宋" w:eastAsia="仿宋" w:cs="仿宋"/>
                <w:color w:val="000000"/>
                <w:kern w:val="0"/>
                <w:sz w:val="28"/>
                <w:szCs w:val="28"/>
              </w:rPr>
              <w:t>在2022年北京冬奥会开幕前夕，中新社聚焦核心、精心策划，在总书记报道专栏“近观中国”栏目推出一组四篇“习近平与冬奥”系列报道。连续播发的评论从总书记冬奥故事的“微场景”起笔，落笔于中国冬奥梦想、区域发展、民族复兴、文明交流的“大历史”，明确回答了海外普遍关注的“中国如何办冬奥”“冬奥能带给中国什么”“冬奥如何影响中国未来”“中国如何与世界一起向未来”的核心关切。“习近平与冬奥”系列报道遵循切口“小”、话题“热”、材料“活”、立意“深”的标准，在冬奥开幕之际立足海外最关注的议题，透过冬奥观察中国社会之变、民众心态之变、中外关系之变。写作上追求寓理于事、理中含趣，生动简洁的故事巧妙穿插其中，通过以小见大的表达方式，体现出习近平总书记指引中国办冬奥过程中</w:t>
            </w:r>
            <w:r>
              <w:rPr>
                <w:rFonts w:hint="eastAsia" w:ascii="仿宋" w:hAnsi="仿宋" w:eastAsia="仿宋" w:cs="仿宋"/>
                <w:color w:val="000000"/>
                <w:kern w:val="0"/>
                <w:sz w:val="28"/>
                <w:szCs w:val="28"/>
                <w:lang w:val="en-US" w:eastAsia="zh-Hans"/>
              </w:rPr>
              <w:t>宽广</w:t>
            </w:r>
            <w:r>
              <w:rPr>
                <w:rFonts w:hint="eastAsia" w:ascii="仿宋" w:hAnsi="仿宋" w:eastAsia="仿宋" w:cs="仿宋"/>
                <w:color w:val="000000"/>
                <w:kern w:val="0"/>
                <w:sz w:val="28"/>
                <w:szCs w:val="28"/>
              </w:rPr>
              <w:t>宏大的历史观、时代观</w:t>
            </w:r>
            <w:r>
              <w:rPr>
                <w:rFonts w:hint="eastAsia" w:ascii="仿宋" w:hAnsi="仿宋" w:eastAsia="仿宋" w:cs="仿宋"/>
                <w:color w:val="000000"/>
                <w:kern w:val="0"/>
                <w:sz w:val="28"/>
                <w:szCs w:val="28"/>
                <w:lang w:val="en-US" w:eastAsia="zh-Hans"/>
              </w:rPr>
              <w:t>和</w:t>
            </w:r>
            <w:r>
              <w:rPr>
                <w:rFonts w:hint="eastAsia" w:ascii="仿宋" w:hAnsi="仿宋" w:eastAsia="仿宋" w:cs="仿宋"/>
                <w:color w:val="000000"/>
                <w:kern w:val="0"/>
                <w:sz w:val="28"/>
                <w:szCs w:val="28"/>
              </w:rPr>
              <w:t>世界观，展现出北京冬奥会、冬残奥会在连接体育强国梦与民族复兴梦、“两个一百年”历史坐标中的独特作用和深远意义。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025" w:hRule="atLeast"/>
          <w:jc w:val="center"/>
        </w:trPr>
        <w:tc>
          <w:tcPr>
            <w:tcW w:w="1277" w:type="dxa"/>
            <w:tcBorders>
              <w:top w:val="single" w:color="000000" w:sz="2" w:space="0"/>
              <w:left w:val="single" w:color="000000" w:sz="2" w:space="0"/>
              <w:bottom w:val="single" w:color="000000" w:sz="2" w:space="0"/>
              <w:right w:val="single" w:color="000000" w:sz="2" w:space="0"/>
            </w:tcBorders>
            <w:textDirection w:val="tbRlV"/>
          </w:tcPr>
          <w:p>
            <w:pPr>
              <w:widowControl/>
              <w:autoSpaceDE w:val="0"/>
              <w:autoSpaceDN w:val="0"/>
              <w:adjustRightInd w:val="0"/>
              <w:jc w:val="left"/>
              <w:rPr>
                <w:rFonts w:ascii="仿宋" w:hAnsi="仿宋" w:eastAsia="仿宋" w:cs="仿宋"/>
                <w:color w:val="000000"/>
                <w:kern w:val="0"/>
                <w:szCs w:val="21"/>
              </w:rPr>
            </w:pPr>
          </w:p>
          <w:p>
            <w:pPr>
              <w:widowControl/>
              <w:autoSpaceDE w:val="0"/>
              <w:autoSpaceDN w:val="0"/>
              <w:adjustRightInd w:val="0"/>
              <w:spacing w:before="107"/>
              <w:ind w:left="105"/>
              <w:rPr>
                <w:rFonts w:ascii="仿宋" w:hAnsi="仿宋" w:eastAsia="仿宋" w:cs="仿宋"/>
                <w:color w:val="000000"/>
                <w:kern w:val="0"/>
                <w:sz w:val="28"/>
                <w:szCs w:val="28"/>
              </w:rPr>
            </w:pPr>
            <w:r>
              <w:rPr>
                <w:rFonts w:hint="eastAsia" w:ascii="仿宋" w:hAnsi="仿宋" w:eastAsia="仿宋" w:cs="仿宋"/>
                <w:color w:val="000000"/>
                <w:spacing w:val="-29"/>
                <w:w w:val="80"/>
                <w:kern w:val="0"/>
                <w:sz w:val="28"/>
                <w:szCs w:val="28"/>
              </w:rPr>
              <w:t>社</w:t>
            </w:r>
            <w:r>
              <w:rPr>
                <w:rFonts w:hint="eastAsia" w:ascii="仿宋" w:hAnsi="仿宋" w:eastAsia="仿宋" w:cs="仿宋"/>
                <w:color w:val="000000"/>
                <w:spacing w:val="-5"/>
                <w:kern w:val="0"/>
                <w:sz w:val="28"/>
                <w:szCs w:val="28"/>
              </w:rPr>
              <w:t xml:space="preserve"> 会 效 果</w:t>
            </w:r>
          </w:p>
        </w:tc>
        <w:tc>
          <w:tcPr>
            <w:tcW w:w="8218" w:type="dxa"/>
            <w:gridSpan w:val="7"/>
            <w:tcBorders>
              <w:top w:val="single" w:color="000000" w:sz="2" w:space="0"/>
              <w:left w:val="single" w:color="000000" w:sz="2" w:space="0"/>
              <w:bottom w:val="single" w:color="000000" w:sz="2" w:space="0"/>
              <w:right w:val="single" w:color="000000" w:sz="2" w:space="0"/>
            </w:tcBorders>
          </w:tcPr>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ascii="仿宋" w:hAnsi="仿宋" w:eastAsia="仿宋" w:cs="仿宋"/>
                <w:color w:val="000000"/>
                <w:kern w:val="0"/>
                <w:sz w:val="24"/>
                <w:szCs w:val="24"/>
              </w:rPr>
            </w:pPr>
            <w:r>
              <w:rPr>
                <w:rFonts w:hint="eastAsia" w:ascii="仿宋" w:hAnsi="仿宋" w:eastAsia="仿宋" w:cs="仿宋"/>
                <w:color w:val="000000"/>
                <w:kern w:val="0"/>
                <w:sz w:val="28"/>
                <w:szCs w:val="28"/>
              </w:rPr>
              <w:t>“习近平与冬奥” 系列报道在北京冬奥会开幕前一周内连续播发，受到海外华文媒体广泛欢迎，累计在五大洲百余家海外媒体的网站和新媒体平台落地逾100家次，法国、巴西等海外新媒体在首页头条位置推出。不少海外用户留言表示，预祝北京冬奥会取得圆满成功、各国奥运健儿加油。有网友在推特回复称：“友谊与和平是连接世界所有国家和人民的桥梁。北京冬奥点亮世界和平之光，中西文化文明共荣向前行。”同时，该系列通过中新社自有</w:t>
            </w:r>
            <w:r>
              <w:rPr>
                <w:rFonts w:hint="eastAsia" w:ascii="仿宋" w:hAnsi="仿宋" w:eastAsia="仿宋" w:cs="仿宋"/>
                <w:color w:val="000000"/>
                <w:kern w:val="0"/>
                <w:sz w:val="28"/>
                <w:szCs w:val="28"/>
                <w:lang w:val="en-US" w:eastAsia="zh-Hans"/>
              </w:rPr>
              <w:t>账号</w:t>
            </w:r>
            <w:r>
              <w:rPr>
                <w:rFonts w:hint="eastAsia" w:ascii="仿宋" w:hAnsi="仿宋" w:eastAsia="仿宋" w:cs="仿宋"/>
                <w:color w:val="000000"/>
                <w:kern w:val="0"/>
                <w:sz w:val="28"/>
                <w:szCs w:val="28"/>
              </w:rPr>
              <w:t>在境内外网络新媒体平台同步播发，累计总阅读量近2000万，受到上百家主流网站、门户网站、新媒体平台集纳转载，并在微博等社交媒体上产生了多个热点话题，激发了广大网友特别是年轻网友对于中国筹办冬奥的共鸣和表达欲，“办好北京冬奥会，让世界了解中国！”“自古英雄出少年！冰雪少年，必将带给赛场更多的灵动和惊喜！”“在冰雪中相知，在运动中的传递友谊！”等评论获得高票点赞。系列报道有效引领海外中国舆论场正确读懂中国冬奥，为北京冬奥会的召开营造了良好舆论氛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8" w:hRule="atLeast"/>
          <w:jc w:val="center"/>
        </w:trPr>
        <w:tc>
          <w:tcPr>
            <w:tcW w:w="1277" w:type="dxa"/>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spacing w:before="50"/>
              <w:jc w:val="center"/>
              <w:rPr>
                <w:rFonts w:ascii="仿宋" w:hAnsi="仿宋" w:eastAsia="仿宋" w:cs="仿宋"/>
                <w:color w:val="000000"/>
                <w:kern w:val="0"/>
                <w:sz w:val="28"/>
                <w:szCs w:val="28"/>
              </w:rPr>
            </w:pPr>
            <w:r>
              <w:rPr>
                <w:rFonts w:hint="eastAsia" w:ascii="仿宋" w:hAnsi="仿宋" w:eastAsia="仿宋" w:cs="仿宋"/>
                <w:color w:val="000000"/>
                <w:spacing w:val="-5"/>
                <w:kern w:val="0"/>
                <w:sz w:val="28"/>
                <w:szCs w:val="28"/>
              </w:rPr>
              <w:t>推</w:t>
            </w:r>
          </w:p>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1"/>
                <w:kern w:val="0"/>
                <w:sz w:val="28"/>
                <w:szCs w:val="28"/>
              </w:rPr>
              <w:t>荐</w:t>
            </w:r>
          </w:p>
          <w:p>
            <w:pPr>
              <w:widowControl/>
              <w:autoSpaceDE w:val="0"/>
              <w:autoSpaceDN w:val="0"/>
              <w:adjustRightInd w:val="0"/>
              <w:spacing w:before="57"/>
              <w:jc w:val="center"/>
              <w:rPr>
                <w:rFonts w:ascii="仿宋" w:hAnsi="仿宋" w:eastAsia="仿宋" w:cs="仿宋"/>
                <w:color w:val="000000"/>
                <w:kern w:val="0"/>
                <w:sz w:val="28"/>
                <w:szCs w:val="28"/>
              </w:rPr>
            </w:pPr>
            <w:r>
              <w:rPr>
                <w:rFonts w:hint="eastAsia" w:ascii="仿宋" w:hAnsi="仿宋" w:eastAsia="仿宋" w:cs="仿宋"/>
                <w:color w:val="000000"/>
                <w:spacing w:val="-1"/>
                <w:kern w:val="0"/>
                <w:sz w:val="28"/>
                <w:szCs w:val="28"/>
              </w:rPr>
              <w:t>理</w:t>
            </w:r>
          </w:p>
          <w:p>
            <w:pPr>
              <w:widowControl/>
              <w:autoSpaceDE w:val="0"/>
              <w:autoSpaceDN w:val="0"/>
              <w:adjustRightInd w:val="0"/>
              <w:spacing w:before="51"/>
              <w:jc w:val="center"/>
              <w:rPr>
                <w:rFonts w:ascii="仿宋" w:hAnsi="仿宋" w:eastAsia="仿宋" w:cs="仿宋"/>
                <w:color w:val="000000"/>
                <w:kern w:val="0"/>
                <w:sz w:val="28"/>
                <w:szCs w:val="28"/>
              </w:rPr>
            </w:pPr>
            <w:r>
              <w:rPr>
                <w:rFonts w:hint="eastAsia" w:ascii="仿宋" w:hAnsi="仿宋" w:eastAsia="仿宋" w:cs="仿宋"/>
                <w:color w:val="000000"/>
                <w:spacing w:val="-1"/>
                <w:kern w:val="0"/>
                <w:sz w:val="28"/>
                <w:szCs w:val="28"/>
              </w:rPr>
              <w:t>由</w:t>
            </w:r>
          </w:p>
          <w:p>
            <w:pPr>
              <w:widowControl/>
              <w:autoSpaceDE w:val="0"/>
              <w:autoSpaceDN w:val="0"/>
              <w:adjustRightInd w:val="0"/>
              <w:spacing w:before="45"/>
              <w:ind w:left="261"/>
              <w:jc w:val="center"/>
              <w:rPr>
                <w:rFonts w:ascii="仿宋" w:hAnsi="仿宋" w:eastAsia="仿宋" w:cs="仿宋"/>
                <w:color w:val="000000"/>
                <w:kern w:val="0"/>
                <w:sz w:val="28"/>
                <w:szCs w:val="28"/>
              </w:rPr>
            </w:pPr>
          </w:p>
        </w:tc>
        <w:tc>
          <w:tcPr>
            <w:tcW w:w="8218" w:type="dxa"/>
            <w:gridSpan w:val="7"/>
            <w:tcBorders>
              <w:top w:val="single" w:color="000000" w:sz="2" w:space="0"/>
              <w:left w:val="single" w:color="000000" w:sz="2" w:space="0"/>
              <w:bottom w:val="single" w:color="000000" w:sz="2" w:space="0"/>
              <w:right w:val="single" w:color="000000" w:sz="2" w:space="0"/>
            </w:tcBorders>
          </w:tcPr>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习近平与冬奥”系列报道聚焦核心，以总书记与冬奥的故事为“第一切口”，通过故事中具体可感的场景切入，呈现总书记对于冬奥的精彩论述，有针对性地回答海外对于中国办冬奥的具体关切，从而在解疑释惑中实现对外宣介总书记重要思想、展现总书记大国领袖形象。</w:t>
            </w: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Hans"/>
              </w:rPr>
              <w:t>该</w:t>
            </w:r>
            <w:r>
              <w:rPr>
                <w:rFonts w:hint="eastAsia" w:ascii="仿宋" w:hAnsi="仿宋" w:eastAsia="仿宋" w:cs="仿宋"/>
                <w:color w:val="000000"/>
                <w:kern w:val="0"/>
                <w:sz w:val="28"/>
                <w:szCs w:val="28"/>
              </w:rPr>
              <w:t>系列评论站位高，从历史大逻辑出发，向海外展现以习近平同志为核心的党中央引领北京冬奥成功实践，集中呈现习近平总书记在指引中国办奥过程中的大格局、大手笔、大胸怀。</w:t>
            </w: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Hans"/>
              </w:rPr>
              <w:t>该</w:t>
            </w:r>
            <w:r>
              <w:rPr>
                <w:rFonts w:hint="eastAsia" w:ascii="仿宋" w:hAnsi="仿宋" w:eastAsia="仿宋" w:cs="仿宋"/>
                <w:color w:val="000000"/>
                <w:kern w:val="0"/>
                <w:sz w:val="28"/>
                <w:szCs w:val="28"/>
              </w:rPr>
              <w:t>系列评论立意深，立足冬奥但不限于冬奥，立足体育强国更展示民族复兴，以冬奥为观察和解读中国发展的窗口，生动展现冬奥在中国与世界互动中的意义，串联起中国在奥运梦想、区域发展、民族复兴、文明交流等不同领域的深刻可感变化与追求。</w:t>
            </w:r>
          </w:p>
          <w:p>
            <w:pPr>
              <w:keepNext w:val="0"/>
              <w:keepLines w:val="0"/>
              <w:pageBreakBefore w:val="0"/>
              <w:widowControl/>
              <w:kinsoku/>
              <w:wordWrap/>
              <w:overflowPunct/>
              <w:topLinePunct w:val="0"/>
              <w:autoSpaceDE w:val="0"/>
              <w:autoSpaceDN w:val="0"/>
              <w:bidi w:val="0"/>
              <w:adjustRightInd w:val="0"/>
              <w:snapToGrid/>
              <w:spacing w:line="360" w:lineRule="exact"/>
              <w:ind w:firstLine="560" w:firstLineChars="200"/>
              <w:jc w:val="left"/>
              <w:textAlignment w:val="auto"/>
              <w:rPr>
                <w:rFonts w:ascii="仿宋" w:hAnsi="仿宋" w:eastAsia="仿宋" w:cs="仿宋"/>
                <w:color w:val="000000"/>
                <w:kern w:val="0"/>
                <w:sz w:val="20"/>
                <w:szCs w:val="20"/>
              </w:rPr>
            </w:pPr>
            <w:r>
              <w:rPr>
                <w:rFonts w:hint="eastAsia" w:ascii="仿宋" w:hAnsi="仿宋" w:eastAsia="仿宋" w:cs="仿宋"/>
                <w:color w:val="000000"/>
                <w:kern w:val="0"/>
                <w:sz w:val="28"/>
                <w:szCs w:val="28"/>
                <w:lang w:val="en-US" w:eastAsia="zh-Hans"/>
              </w:rPr>
              <w:t>这组</w:t>
            </w:r>
            <w:r>
              <w:rPr>
                <w:rFonts w:hint="eastAsia" w:ascii="仿宋" w:hAnsi="仿宋" w:eastAsia="仿宋" w:cs="仿宋"/>
                <w:color w:val="000000"/>
                <w:kern w:val="0"/>
                <w:sz w:val="28"/>
                <w:szCs w:val="28"/>
              </w:rPr>
              <w:t>系列评论表达巧，从一个个具体的场景和生动的故事切入，在宏大叙事中兼顾动人细节。同时，照顾海外受众的审美需求，语言质朴凝练，富有信息量，可读性强。</w:t>
            </w:r>
            <w:r>
              <w:rPr>
                <w:rFonts w:hint="eastAsia" w:ascii="仿宋" w:hAnsi="仿宋" w:eastAsia="仿宋" w:cs="仿宋"/>
                <w:color w:val="000000"/>
                <w:kern w:val="0"/>
                <w:sz w:val="28"/>
                <w:szCs w:val="28"/>
                <w:lang w:val="en-US" w:eastAsia="zh-CN"/>
              </w:rPr>
              <w:t>同意推荐。</w:t>
            </w:r>
          </w:p>
          <w:p>
            <w:pPr>
              <w:widowControl/>
              <w:autoSpaceDE w:val="0"/>
              <w:autoSpaceDN w:val="0"/>
              <w:adjustRightInd w:val="0"/>
              <w:spacing w:before="60"/>
              <w:ind w:left="3974"/>
              <w:jc w:val="left"/>
              <w:rPr>
                <w:rFonts w:ascii="仿宋" w:hAnsi="仿宋" w:eastAsia="仿宋" w:cs="仿宋"/>
                <w:color w:val="000000"/>
                <w:kern w:val="0"/>
                <w:sz w:val="28"/>
                <w:szCs w:val="28"/>
              </w:rPr>
            </w:pPr>
            <w:r>
              <w:rPr>
                <w:rFonts w:hint="eastAsia" w:ascii="仿宋" w:hAnsi="仿宋" w:eastAsia="仿宋" w:cs="仿宋"/>
                <w:color w:val="000000"/>
                <w:spacing w:val="-5"/>
                <w:kern w:val="0"/>
                <w:sz w:val="28"/>
                <w:szCs w:val="28"/>
              </w:rPr>
              <w:t>签</w:t>
            </w:r>
            <w:r>
              <w:rPr>
                <w:rFonts w:hint="eastAsia" w:ascii="仿宋" w:hAnsi="仿宋" w:eastAsia="仿宋" w:cs="仿宋"/>
                <w:color w:val="000000"/>
                <w:spacing w:val="-3"/>
                <w:kern w:val="0"/>
                <w:sz w:val="28"/>
                <w:szCs w:val="28"/>
              </w:rPr>
              <w:t>名：</w:t>
            </w:r>
          </w:p>
          <w:p>
            <w:pPr>
              <w:widowControl/>
              <w:tabs>
                <w:tab w:val="left" w:pos="5745"/>
              </w:tabs>
              <w:autoSpaceDE w:val="0"/>
              <w:autoSpaceDN w:val="0"/>
              <w:adjustRightInd w:val="0"/>
              <w:ind w:left="5605"/>
              <w:jc w:val="left"/>
              <w:rPr>
                <w:rFonts w:ascii="仿宋" w:hAnsi="仿宋" w:eastAsia="仿宋" w:cs="仿宋"/>
                <w:color w:val="000000"/>
                <w:spacing w:val="4"/>
                <w:kern w:val="0"/>
                <w:position w:val="5"/>
                <w:sz w:val="28"/>
                <w:szCs w:val="28"/>
              </w:rPr>
            </w:pPr>
            <w:r>
              <w:rPr>
                <w:rFonts w:hint="eastAsia" w:ascii="仿宋" w:hAnsi="仿宋" w:eastAsia="仿宋" w:cs="仿宋"/>
                <w:color w:val="000000"/>
                <w:kern w:val="0"/>
                <w:position w:val="5"/>
                <w:sz w:val="28"/>
                <w:szCs w:val="28"/>
              </w:rPr>
              <w:tab/>
            </w:r>
            <w:r>
              <w:rPr>
                <w:rFonts w:hint="eastAsia" w:ascii="仿宋" w:hAnsi="仿宋" w:eastAsia="仿宋" w:cs="仿宋"/>
                <w:color w:val="000000"/>
                <w:spacing w:val="5"/>
                <w:kern w:val="0"/>
                <w:position w:val="5"/>
                <w:sz w:val="28"/>
                <w:szCs w:val="28"/>
              </w:rPr>
              <w:t>(</w:t>
            </w:r>
            <w:r>
              <w:rPr>
                <w:rFonts w:hint="eastAsia" w:ascii="仿宋" w:hAnsi="仿宋" w:eastAsia="仿宋" w:cs="仿宋"/>
                <w:color w:val="000000"/>
                <w:spacing w:val="4"/>
                <w:kern w:val="0"/>
                <w:position w:val="5"/>
                <w:sz w:val="28"/>
                <w:szCs w:val="28"/>
              </w:rPr>
              <w:t>盖单位公章)</w:t>
            </w:r>
          </w:p>
          <w:p>
            <w:pPr>
              <w:widowControl/>
              <w:tabs>
                <w:tab w:val="left" w:pos="5745"/>
              </w:tabs>
              <w:autoSpaceDE w:val="0"/>
              <w:autoSpaceDN w:val="0"/>
              <w:adjustRightInd w:val="0"/>
              <w:ind w:left="5605"/>
              <w:jc w:val="left"/>
              <w:rPr>
                <w:rFonts w:ascii="仿宋" w:hAnsi="仿宋" w:eastAsia="仿宋" w:cs="仿宋"/>
                <w:color w:val="000000"/>
                <w:kern w:val="0"/>
                <w:sz w:val="28"/>
                <w:szCs w:val="28"/>
              </w:rPr>
            </w:pPr>
            <w:r>
              <w:rPr>
                <w:rFonts w:hint="eastAsia" w:ascii="仿宋" w:hAnsi="仿宋" w:eastAsia="仿宋" w:cs="仿宋"/>
                <w:color w:val="000000"/>
                <w:spacing w:val="-6"/>
                <w:kern w:val="0"/>
                <w:sz w:val="28"/>
                <w:szCs w:val="28"/>
              </w:rPr>
              <w:t>2</w:t>
            </w:r>
            <w:r>
              <w:rPr>
                <w:rFonts w:hint="eastAsia" w:ascii="仿宋" w:hAnsi="仿宋" w:eastAsia="仿宋" w:cs="仿宋"/>
                <w:color w:val="000000"/>
                <w:spacing w:val="-4"/>
                <w:kern w:val="0"/>
                <w:sz w:val="28"/>
                <w:szCs w:val="28"/>
              </w:rPr>
              <w:t>023 年   月   日</w:t>
            </w:r>
          </w:p>
        </w:tc>
      </w:tr>
    </w:tbl>
    <w:p>
      <w:pPr>
        <w:widowControl/>
        <w:jc w:val="left"/>
        <w:rPr>
          <w:rFonts w:ascii="Arial" w:hAnsi="Arial" w:eastAsia="Arial" w:cs="Arial"/>
          <w:snapToGrid w:val="0"/>
          <w:color w:val="000000"/>
          <w:kern w:val="0"/>
          <w:szCs w:val="21"/>
        </w:rPr>
        <w:sectPr>
          <w:footerReference r:id="rId3" w:type="default"/>
          <w:pgSz w:w="11906" w:h="16839"/>
          <w:pgMar w:top="1440" w:right="1080" w:bottom="1440" w:left="1080" w:header="0" w:footer="1475" w:gutter="0"/>
          <w:cols w:space="720" w:num="1"/>
          <w:docGrid w:linePitch="286" w:charSpace="0"/>
        </w:sectPr>
      </w:pPr>
    </w:p>
    <w:p>
      <w:pPr>
        <w:widowControl/>
        <w:autoSpaceDE w:val="0"/>
        <w:autoSpaceDN w:val="0"/>
        <w:adjustRightInd w:val="0"/>
        <w:snapToGrid w:val="0"/>
        <w:spacing w:before="94"/>
        <w:jc w:val="left"/>
        <w:rPr>
          <w:rFonts w:ascii="黑体" w:hAnsi="黑体" w:eastAsia="黑体" w:cs="黑体"/>
          <w:color w:val="000000"/>
          <w:spacing w:val="-19"/>
          <w:kern w:val="0"/>
          <w:sz w:val="32"/>
          <w:szCs w:val="32"/>
        </w:rPr>
      </w:pPr>
      <w:r>
        <w:rPr>
          <w:rFonts w:hint="eastAsia" w:ascii="黑体" w:hAnsi="黑体" w:eastAsia="黑体" w:cs="黑体"/>
          <w:color w:val="000000"/>
          <w:spacing w:val="-19"/>
          <w:kern w:val="0"/>
          <w:sz w:val="32"/>
          <w:szCs w:val="32"/>
        </w:rPr>
        <w:t>附件 5</w:t>
      </w:r>
    </w:p>
    <w:p>
      <w:pPr>
        <w:widowControl/>
        <w:autoSpaceDE w:val="0"/>
        <w:autoSpaceDN w:val="0"/>
        <w:adjustRightInd w:val="0"/>
        <w:snapToGrid w:val="0"/>
        <w:spacing w:before="94"/>
        <w:ind w:left="146"/>
        <w:jc w:val="left"/>
        <w:rPr>
          <w:rFonts w:ascii="黑体" w:hAnsi="黑体" w:eastAsia="黑体" w:cs="黑体"/>
          <w:color w:val="000000"/>
          <w:spacing w:val="-19"/>
          <w:kern w:val="0"/>
          <w:sz w:val="32"/>
          <w:szCs w:val="32"/>
        </w:rPr>
      </w:pPr>
    </w:p>
    <w:p>
      <w:pPr>
        <w:widowControl/>
        <w:autoSpaceDE w:val="0"/>
        <w:autoSpaceDN w:val="0"/>
        <w:adjustRightInd w:val="0"/>
        <w:snapToGrid w:val="0"/>
        <w:spacing w:before="169"/>
        <w:jc w:val="center"/>
        <w:rPr>
          <w:rFonts w:ascii="宋体" w:hAnsi="宋体" w:eastAsia="宋体" w:cs="宋体"/>
          <w:b/>
          <w:bCs/>
          <w:color w:val="000000"/>
          <w:kern w:val="0"/>
          <w:sz w:val="36"/>
          <w:szCs w:val="36"/>
        </w:rPr>
      </w:pPr>
      <w:r>
        <w:rPr>
          <w:rFonts w:hint="eastAsia" w:ascii="宋体" w:hAnsi="宋体" w:eastAsia="宋体" w:cs="宋体"/>
          <w:b/>
          <w:bCs/>
          <w:color w:val="000000"/>
          <w:spacing w:val="9"/>
          <w:kern w:val="0"/>
          <w:sz w:val="36"/>
          <w:szCs w:val="36"/>
        </w:rPr>
        <w:t>中国新闻奖体育新闻系列报道作品完整目录</w:t>
      </w:r>
    </w:p>
    <w:p>
      <w:pPr>
        <w:widowControl/>
        <w:autoSpaceDE w:val="0"/>
        <w:autoSpaceDN w:val="0"/>
        <w:adjustRightInd w:val="0"/>
        <w:snapToGrid w:val="0"/>
        <w:jc w:val="left"/>
        <w:rPr>
          <w:rFonts w:ascii="Arial" w:hAnsi="Arial" w:eastAsia="Arial" w:cs="Arial"/>
          <w:color w:val="000000"/>
          <w:kern w:val="0"/>
          <w:szCs w:val="21"/>
        </w:rPr>
      </w:pPr>
    </w:p>
    <w:p>
      <w:pPr>
        <w:widowControl/>
        <w:autoSpaceDE w:val="0"/>
        <w:autoSpaceDN w:val="0"/>
        <w:adjustRightInd w:val="0"/>
        <w:snapToGrid w:val="0"/>
        <w:jc w:val="left"/>
        <w:rPr>
          <w:rFonts w:ascii="Arial" w:hAnsi="Arial" w:eastAsia="Arial" w:cs="Arial"/>
          <w:color w:val="000000"/>
          <w:kern w:val="0"/>
          <w:szCs w:val="21"/>
        </w:rPr>
      </w:pPr>
      <w:bookmarkStart w:id="0" w:name="_GoBack"/>
      <w:bookmarkEnd w:id="0"/>
    </w:p>
    <w:p>
      <w:pPr>
        <w:widowControl/>
        <w:autoSpaceDE w:val="0"/>
        <w:autoSpaceDN w:val="0"/>
        <w:adjustRightInd w:val="0"/>
        <w:snapToGrid w:val="0"/>
        <w:jc w:val="left"/>
        <w:rPr>
          <w:rFonts w:ascii="Arial" w:hAnsi="Arial" w:eastAsia="Arial" w:cs="Arial"/>
          <w:color w:val="000000"/>
          <w:kern w:val="0"/>
          <w:szCs w:val="21"/>
        </w:rPr>
      </w:pPr>
    </w:p>
    <w:tbl>
      <w:tblPr>
        <w:tblStyle w:val="7"/>
        <w:tblpPr w:leftFromText="180" w:rightFromText="180" w:vertAnchor="text" w:horzAnchor="page" w:tblpXSpec="center" w:tblpY="117"/>
        <w:tblOverlap w:val="never"/>
        <w:tblW w:w="5000"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30"/>
        <w:gridCol w:w="627"/>
        <w:gridCol w:w="1380"/>
        <w:gridCol w:w="896"/>
        <w:gridCol w:w="1480"/>
        <w:gridCol w:w="1189"/>
        <w:gridCol w:w="1285"/>
        <w:gridCol w:w="725"/>
      </w:tblGrid>
      <w:tr>
        <w:trPr>
          <w:trHeight w:val="703" w:hRule="atLeast"/>
          <w:jc w:val="center"/>
        </w:trPr>
        <w:tc>
          <w:tcPr>
            <w:tcW w:w="817" w:type="pct"/>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作品</w:t>
            </w:r>
            <w:r>
              <w:rPr>
                <w:rFonts w:hint="eastAsia" w:ascii="仿宋" w:hAnsi="仿宋" w:eastAsia="仿宋" w:cs="仿宋"/>
                <w:color w:val="000000"/>
                <w:spacing w:val="-1"/>
                <w:kern w:val="0"/>
                <w:sz w:val="28"/>
                <w:szCs w:val="28"/>
              </w:rPr>
              <w:t>标题</w:t>
            </w:r>
          </w:p>
        </w:tc>
        <w:tc>
          <w:tcPr>
            <w:tcW w:w="4183" w:type="pct"/>
            <w:gridSpan w:val="6"/>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Cs w:val="21"/>
              </w:rPr>
            </w:pPr>
            <w:r>
              <w:rPr>
                <w:rFonts w:hint="eastAsia" w:ascii="仿宋" w:hAnsi="仿宋" w:eastAsia="仿宋" w:cs="仿宋"/>
                <w:color w:val="000000"/>
                <w:kern w:val="0"/>
                <w:sz w:val="24"/>
                <w:szCs w:val="24"/>
              </w:rPr>
              <w:t>“近观中国”习近平与冬奥主题系列评论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04" w:hRule="atLeast"/>
          <w:jc w:val="center"/>
        </w:trPr>
        <w:tc>
          <w:tcPr>
            <w:tcW w:w="44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kern w:val="0"/>
                <w:sz w:val="28"/>
                <w:szCs w:val="28"/>
              </w:rPr>
              <w:t>序号</w:t>
            </w:r>
          </w:p>
        </w:tc>
        <w:tc>
          <w:tcPr>
            <w:tcW w:w="1207" w:type="pct"/>
            <w:gridSpan w:val="2"/>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2"/>
                <w:kern w:val="0"/>
                <w:sz w:val="28"/>
                <w:szCs w:val="28"/>
              </w:rPr>
              <w:t>单篇作品标</w:t>
            </w:r>
            <w:r>
              <w:rPr>
                <w:rFonts w:hint="eastAsia" w:ascii="仿宋" w:hAnsi="仿宋" w:eastAsia="仿宋" w:cs="仿宋"/>
                <w:color w:val="000000"/>
                <w:spacing w:val="-1"/>
                <w:kern w:val="0"/>
                <w:sz w:val="28"/>
                <w:szCs w:val="28"/>
              </w:rPr>
              <w:t>题</w:t>
            </w:r>
          </w:p>
        </w:tc>
        <w:tc>
          <w:tcPr>
            <w:tcW w:w="539"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3"/>
                <w:kern w:val="0"/>
                <w:sz w:val="28"/>
                <w:szCs w:val="28"/>
              </w:rPr>
              <w:t>体裁</w:t>
            </w:r>
          </w:p>
        </w:tc>
        <w:tc>
          <w:tcPr>
            <w:tcW w:w="89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7"/>
                <w:kern w:val="0"/>
                <w:sz w:val="28"/>
                <w:szCs w:val="28"/>
              </w:rPr>
              <w:t>字数</w:t>
            </w:r>
            <w:r>
              <w:rPr>
                <w:rFonts w:hint="eastAsia" w:ascii="仿宋" w:hAnsi="仿宋" w:eastAsia="仿宋" w:cs="仿宋"/>
                <w:color w:val="000000"/>
                <w:spacing w:val="6"/>
                <w:kern w:val="0"/>
                <w:sz w:val="28"/>
                <w:szCs w:val="28"/>
              </w:rPr>
              <w:t>/</w:t>
            </w:r>
            <w:r>
              <w:rPr>
                <w:rFonts w:hint="eastAsia" w:ascii="仿宋" w:hAnsi="仿宋" w:eastAsia="仿宋" w:cs="仿宋"/>
                <w:color w:val="000000"/>
                <w:spacing w:val="-4"/>
                <w:kern w:val="0"/>
                <w:sz w:val="28"/>
                <w:szCs w:val="28"/>
              </w:rPr>
              <w:t>时</w:t>
            </w:r>
            <w:r>
              <w:rPr>
                <w:rFonts w:hint="eastAsia" w:ascii="仿宋" w:hAnsi="仿宋" w:eastAsia="仿宋" w:cs="仿宋"/>
                <w:color w:val="000000"/>
                <w:spacing w:val="-3"/>
                <w:kern w:val="0"/>
                <w:sz w:val="28"/>
                <w:szCs w:val="28"/>
              </w:rPr>
              <w:t>长</w:t>
            </w:r>
          </w:p>
        </w:tc>
        <w:tc>
          <w:tcPr>
            <w:tcW w:w="715"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3"/>
                <w:kern w:val="0"/>
                <w:sz w:val="28"/>
                <w:szCs w:val="28"/>
              </w:rPr>
              <w:t>刊</w:t>
            </w:r>
            <w:r>
              <w:rPr>
                <w:rFonts w:hint="eastAsia" w:ascii="仿宋" w:hAnsi="仿宋" w:eastAsia="仿宋" w:cs="仿宋"/>
                <w:color w:val="000000"/>
                <w:spacing w:val="-2"/>
                <w:kern w:val="0"/>
                <w:sz w:val="28"/>
                <w:szCs w:val="28"/>
              </w:rPr>
              <w:t>播日期</w:t>
            </w:r>
          </w:p>
        </w:tc>
        <w:tc>
          <w:tcPr>
            <w:tcW w:w="773"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5"/>
                <w:kern w:val="0"/>
                <w:sz w:val="28"/>
                <w:szCs w:val="28"/>
              </w:rPr>
              <w:t>刊</w:t>
            </w:r>
            <w:r>
              <w:rPr>
                <w:rFonts w:hint="eastAsia" w:ascii="仿宋" w:hAnsi="仿宋" w:eastAsia="仿宋" w:cs="仿宋"/>
                <w:color w:val="000000"/>
                <w:spacing w:val="-3"/>
                <w:kern w:val="0"/>
                <w:sz w:val="28"/>
                <w:szCs w:val="28"/>
              </w:rPr>
              <w:t>播</w:t>
            </w:r>
            <w:r>
              <w:rPr>
                <w:rFonts w:hint="eastAsia" w:ascii="仿宋" w:hAnsi="仿宋" w:eastAsia="仿宋" w:cs="仿宋"/>
                <w:color w:val="000000"/>
                <w:spacing w:val="-5"/>
                <w:kern w:val="0"/>
                <w:sz w:val="28"/>
                <w:szCs w:val="28"/>
              </w:rPr>
              <w:t>版</w:t>
            </w:r>
            <w:r>
              <w:rPr>
                <w:rFonts w:hint="eastAsia" w:ascii="仿宋" w:hAnsi="仿宋" w:eastAsia="仿宋" w:cs="仿宋"/>
                <w:color w:val="000000"/>
                <w:spacing w:val="-4"/>
                <w:kern w:val="0"/>
                <w:sz w:val="28"/>
                <w:szCs w:val="28"/>
              </w:rPr>
              <w:t>面</w:t>
            </w:r>
          </w:p>
        </w:tc>
        <w:tc>
          <w:tcPr>
            <w:tcW w:w="436"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8"/>
                <w:szCs w:val="28"/>
              </w:rPr>
            </w:pPr>
            <w:r>
              <w:rPr>
                <w:rFonts w:hint="eastAsia" w:ascii="仿宋" w:hAnsi="仿宋" w:eastAsia="仿宋" w:cs="仿宋"/>
                <w:color w:val="000000"/>
                <w:spacing w:val="-4"/>
                <w:kern w:val="0"/>
                <w:sz w:val="28"/>
                <w:szCs w:val="28"/>
              </w:rPr>
              <w:t>备</w:t>
            </w:r>
            <w:r>
              <w:rPr>
                <w:rFonts w:hint="eastAsia" w:ascii="仿宋" w:hAnsi="仿宋" w:eastAsia="仿宋" w:cs="仿宋"/>
                <w:color w:val="000000"/>
                <w:spacing w:val="-2"/>
                <w:kern w:val="0"/>
                <w:sz w:val="28"/>
                <w:szCs w:val="28"/>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9" w:hRule="atLeast"/>
          <w:jc w:val="center"/>
        </w:trPr>
        <w:tc>
          <w:tcPr>
            <w:tcW w:w="44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1207" w:type="pct"/>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ascii="仿宋" w:hAnsi="仿宋" w:eastAsia="仿宋" w:cs="仿宋"/>
                <w:color w:val="000000"/>
                <w:kern w:val="0"/>
                <w:sz w:val="24"/>
                <w:szCs w:val="24"/>
              </w:rPr>
              <w:t>答冬奥关键三问，习近平告诉世界“中国准备好了”</w:t>
            </w:r>
          </w:p>
        </w:tc>
        <w:tc>
          <w:tcPr>
            <w:tcW w:w="539"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评论</w:t>
            </w:r>
          </w:p>
        </w:tc>
        <w:tc>
          <w:tcPr>
            <w:tcW w:w="890"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1</w:t>
            </w:r>
            <w:r>
              <w:rPr>
                <w:rFonts w:ascii="仿宋" w:hAnsi="仿宋" w:eastAsia="仿宋" w:cs="仿宋"/>
                <w:color w:val="000000"/>
                <w:kern w:val="0"/>
                <w:sz w:val="24"/>
                <w:szCs w:val="24"/>
              </w:rPr>
              <w:t>835</w:t>
            </w:r>
          </w:p>
        </w:tc>
        <w:tc>
          <w:tcPr>
            <w:tcW w:w="715"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r>
              <w:rPr>
                <w:rFonts w:ascii="仿宋" w:hAnsi="仿宋" w:eastAsia="仿宋" w:cs="仿宋"/>
                <w:color w:val="000000"/>
                <w:kern w:val="0"/>
                <w:sz w:val="24"/>
                <w:szCs w:val="24"/>
              </w:rPr>
              <w:t>022</w:t>
            </w:r>
            <w:r>
              <w:rPr>
                <w:rFonts w:hint="eastAsia" w:ascii="仿宋" w:hAnsi="仿宋" w:eastAsia="仿宋" w:cs="仿宋"/>
                <w:color w:val="000000"/>
                <w:kern w:val="0"/>
                <w:sz w:val="24"/>
                <w:szCs w:val="24"/>
              </w:rPr>
              <w:t>年1月3</w:t>
            </w:r>
            <w:r>
              <w:rPr>
                <w:rFonts w:ascii="仿宋" w:hAnsi="仿宋" w:eastAsia="仿宋" w:cs="仿宋"/>
                <w:color w:val="000000"/>
                <w:kern w:val="0"/>
                <w:sz w:val="24"/>
                <w:szCs w:val="24"/>
              </w:rPr>
              <w:t>0</w:t>
            </w:r>
            <w:r>
              <w:rPr>
                <w:rFonts w:hint="eastAsia" w:ascii="仿宋" w:hAnsi="仿宋" w:eastAsia="仿宋" w:cs="仿宋"/>
                <w:color w:val="000000"/>
                <w:kern w:val="0"/>
                <w:sz w:val="24"/>
                <w:szCs w:val="24"/>
              </w:rPr>
              <w:t>日</w:t>
            </w:r>
          </w:p>
        </w:tc>
        <w:tc>
          <w:tcPr>
            <w:tcW w:w="773"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电讯通稿</w:t>
            </w:r>
          </w:p>
        </w:tc>
        <w:tc>
          <w:tcPr>
            <w:tcW w:w="436"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8"/>
                <w:szCs w:val="28"/>
              </w:rPr>
            </w:pPr>
            <w:r>
              <w:rPr>
                <w:rFonts w:hint="eastAsia" w:ascii="仿宋" w:hAnsi="仿宋" w:eastAsia="仿宋" w:cs="仿宋"/>
                <w:color w:val="000000"/>
                <w:kern w:val="0"/>
                <w:sz w:val="24"/>
                <w:szCs w:val="24"/>
              </w:rPr>
              <w:t>代表作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9" w:hRule="atLeast"/>
          <w:jc w:val="center"/>
        </w:trPr>
        <w:tc>
          <w:tcPr>
            <w:tcW w:w="44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1207" w:type="pct"/>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ascii="仿宋" w:hAnsi="仿宋" w:eastAsia="仿宋" w:cs="仿宋"/>
                <w:color w:val="000000"/>
                <w:kern w:val="0"/>
                <w:sz w:val="24"/>
                <w:szCs w:val="24"/>
              </w:rPr>
              <w:t>从北京到北京，习近平带给“奥运中国”的三色印记</w:t>
            </w:r>
          </w:p>
        </w:tc>
        <w:tc>
          <w:tcPr>
            <w:tcW w:w="539"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评论</w:t>
            </w:r>
          </w:p>
        </w:tc>
        <w:tc>
          <w:tcPr>
            <w:tcW w:w="890"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1</w:t>
            </w:r>
            <w:r>
              <w:rPr>
                <w:rFonts w:ascii="仿宋" w:hAnsi="仿宋" w:eastAsia="仿宋" w:cs="仿宋"/>
                <w:color w:val="000000"/>
                <w:kern w:val="0"/>
                <w:sz w:val="24"/>
                <w:szCs w:val="24"/>
              </w:rPr>
              <w:t>561</w:t>
            </w:r>
          </w:p>
        </w:tc>
        <w:tc>
          <w:tcPr>
            <w:tcW w:w="715"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r>
              <w:rPr>
                <w:rFonts w:ascii="仿宋" w:hAnsi="仿宋" w:eastAsia="仿宋" w:cs="仿宋"/>
                <w:color w:val="000000"/>
                <w:kern w:val="0"/>
                <w:sz w:val="24"/>
                <w:szCs w:val="24"/>
              </w:rPr>
              <w:t>022</w:t>
            </w:r>
            <w:r>
              <w:rPr>
                <w:rFonts w:hint="eastAsia" w:ascii="仿宋" w:hAnsi="仿宋" w:eastAsia="仿宋" w:cs="仿宋"/>
                <w:color w:val="000000"/>
                <w:kern w:val="0"/>
                <w:sz w:val="24"/>
                <w:szCs w:val="24"/>
              </w:rPr>
              <w:t>年1月3</w:t>
            </w:r>
            <w:r>
              <w:rPr>
                <w:rFonts w:ascii="仿宋" w:hAnsi="仿宋" w:eastAsia="仿宋" w:cs="仿宋"/>
                <w:color w:val="000000"/>
                <w:kern w:val="0"/>
                <w:sz w:val="24"/>
                <w:szCs w:val="24"/>
              </w:rPr>
              <w:t>1</w:t>
            </w:r>
            <w:r>
              <w:rPr>
                <w:rFonts w:hint="eastAsia" w:ascii="仿宋" w:hAnsi="仿宋" w:eastAsia="仿宋" w:cs="仿宋"/>
                <w:color w:val="000000"/>
                <w:kern w:val="0"/>
                <w:sz w:val="24"/>
                <w:szCs w:val="24"/>
              </w:rPr>
              <w:t>日</w:t>
            </w:r>
          </w:p>
        </w:tc>
        <w:tc>
          <w:tcPr>
            <w:tcW w:w="773"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电讯通稿</w:t>
            </w:r>
          </w:p>
        </w:tc>
        <w:tc>
          <w:tcPr>
            <w:tcW w:w="436"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8"/>
                <w:szCs w:val="28"/>
              </w:rPr>
            </w:pPr>
            <w:r>
              <w:rPr>
                <w:rFonts w:hint="eastAsia" w:ascii="仿宋" w:hAnsi="仿宋" w:eastAsia="仿宋" w:cs="仿宋"/>
                <w:color w:val="000000"/>
                <w:kern w:val="0"/>
                <w:sz w:val="24"/>
                <w:szCs w:val="24"/>
              </w:rPr>
              <w:t>代表作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8" w:hRule="atLeast"/>
          <w:jc w:val="center"/>
        </w:trPr>
        <w:tc>
          <w:tcPr>
            <w:tcW w:w="44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1207" w:type="pct"/>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ascii="仿宋" w:hAnsi="仿宋" w:eastAsia="仿宋" w:cs="仿宋"/>
                <w:color w:val="000000"/>
                <w:kern w:val="0"/>
                <w:sz w:val="24"/>
                <w:szCs w:val="24"/>
              </w:rPr>
              <w:t>与他们在一起，习近平讲述“向未来”的冬奥故事</w:t>
            </w:r>
          </w:p>
        </w:tc>
        <w:tc>
          <w:tcPr>
            <w:tcW w:w="539"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评论</w:t>
            </w:r>
          </w:p>
        </w:tc>
        <w:tc>
          <w:tcPr>
            <w:tcW w:w="890"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ascii="仿宋" w:hAnsi="仿宋" w:eastAsia="仿宋" w:cs="仿宋"/>
                <w:color w:val="000000"/>
                <w:kern w:val="0"/>
                <w:sz w:val="24"/>
                <w:szCs w:val="24"/>
              </w:rPr>
              <w:t>1306</w:t>
            </w:r>
          </w:p>
        </w:tc>
        <w:tc>
          <w:tcPr>
            <w:tcW w:w="715"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r>
              <w:rPr>
                <w:rFonts w:ascii="仿宋" w:hAnsi="仿宋" w:eastAsia="仿宋" w:cs="仿宋"/>
                <w:color w:val="000000"/>
                <w:kern w:val="0"/>
                <w:sz w:val="24"/>
                <w:szCs w:val="24"/>
              </w:rPr>
              <w:t>022</w:t>
            </w:r>
            <w:r>
              <w:rPr>
                <w:rFonts w:hint="eastAsia" w:ascii="仿宋" w:hAnsi="仿宋" w:eastAsia="仿宋" w:cs="仿宋"/>
                <w:color w:val="000000"/>
                <w:kern w:val="0"/>
                <w:sz w:val="24"/>
                <w:szCs w:val="24"/>
              </w:rPr>
              <w:t>年2月1日</w:t>
            </w:r>
          </w:p>
        </w:tc>
        <w:tc>
          <w:tcPr>
            <w:tcW w:w="773"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电讯通稿</w:t>
            </w:r>
          </w:p>
        </w:tc>
        <w:tc>
          <w:tcPr>
            <w:tcW w:w="436"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8"/>
                <w:szCs w:val="28"/>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19" w:hRule="atLeast"/>
          <w:jc w:val="center"/>
        </w:trPr>
        <w:tc>
          <w:tcPr>
            <w:tcW w:w="440" w:type="pct"/>
            <w:tcBorders>
              <w:top w:val="single" w:color="000000" w:sz="2" w:space="0"/>
              <w:left w:val="single" w:color="000000" w:sz="2" w:space="0"/>
              <w:bottom w:val="single" w:color="000000" w:sz="2" w:space="0"/>
              <w:right w:val="single" w:color="000000" w:sz="2" w:space="0"/>
            </w:tcBorders>
            <w:vAlign w:val="center"/>
          </w:tcPr>
          <w:p>
            <w:pPr>
              <w:widowControl/>
              <w:autoSpaceDE w:val="0"/>
              <w:autoSpaceDN w:val="0"/>
              <w:adjustRightInd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1207" w:type="pct"/>
            <w:gridSpan w:val="2"/>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ascii="仿宋" w:hAnsi="仿宋" w:eastAsia="仿宋" w:cs="仿宋"/>
                <w:color w:val="000000"/>
                <w:kern w:val="0"/>
                <w:sz w:val="24"/>
                <w:szCs w:val="24"/>
              </w:rPr>
              <w:t>相知“冰雪”中，习近平成就中外互动的另一种叙事</w:t>
            </w:r>
          </w:p>
        </w:tc>
        <w:tc>
          <w:tcPr>
            <w:tcW w:w="539"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评论</w:t>
            </w:r>
          </w:p>
        </w:tc>
        <w:tc>
          <w:tcPr>
            <w:tcW w:w="890"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1</w:t>
            </w:r>
            <w:r>
              <w:rPr>
                <w:rFonts w:ascii="仿宋" w:hAnsi="仿宋" w:eastAsia="仿宋" w:cs="仿宋"/>
                <w:color w:val="000000"/>
                <w:kern w:val="0"/>
                <w:sz w:val="24"/>
                <w:szCs w:val="24"/>
              </w:rPr>
              <w:t>403</w:t>
            </w:r>
          </w:p>
        </w:tc>
        <w:tc>
          <w:tcPr>
            <w:tcW w:w="715"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rPr>
              <w:t>2</w:t>
            </w:r>
            <w:r>
              <w:rPr>
                <w:rFonts w:ascii="仿宋" w:hAnsi="仿宋" w:eastAsia="仿宋" w:cs="仿宋"/>
                <w:color w:val="000000"/>
                <w:kern w:val="0"/>
                <w:sz w:val="24"/>
                <w:szCs w:val="24"/>
              </w:rPr>
              <w:t>022</w:t>
            </w:r>
            <w:r>
              <w:rPr>
                <w:rFonts w:hint="eastAsia" w:ascii="仿宋" w:hAnsi="仿宋" w:eastAsia="仿宋" w:cs="仿宋"/>
                <w:color w:val="000000"/>
                <w:kern w:val="0"/>
                <w:sz w:val="24"/>
                <w:szCs w:val="24"/>
              </w:rPr>
              <w:t>年2月2日</w:t>
            </w:r>
          </w:p>
        </w:tc>
        <w:tc>
          <w:tcPr>
            <w:tcW w:w="773"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电讯通稿</w:t>
            </w:r>
          </w:p>
        </w:tc>
        <w:tc>
          <w:tcPr>
            <w:tcW w:w="436" w:type="pct"/>
            <w:tcBorders>
              <w:top w:val="single" w:color="000000" w:sz="2" w:space="0"/>
              <w:left w:val="single" w:color="000000" w:sz="2" w:space="0"/>
              <w:bottom w:val="single" w:color="000000" w:sz="2" w:space="0"/>
              <w:right w:val="single" w:color="000000" w:sz="2" w:space="0"/>
            </w:tcBorders>
          </w:tcPr>
          <w:p>
            <w:pPr>
              <w:widowControl/>
              <w:autoSpaceDE w:val="0"/>
              <w:autoSpaceDN w:val="0"/>
              <w:adjustRightInd w:val="0"/>
              <w:rPr>
                <w:rFonts w:ascii="仿宋" w:hAnsi="仿宋" w:eastAsia="仿宋" w:cs="仿宋"/>
                <w:color w:val="000000"/>
                <w:kern w:val="0"/>
                <w:sz w:val="28"/>
                <w:szCs w:val="28"/>
              </w:rPr>
            </w:pPr>
            <w:r>
              <w:rPr>
                <w:rFonts w:hint="eastAsia" w:ascii="仿宋" w:hAnsi="仿宋" w:eastAsia="仿宋" w:cs="仿宋"/>
                <w:color w:val="000000"/>
                <w:kern w:val="0"/>
                <w:sz w:val="24"/>
                <w:szCs w:val="24"/>
              </w:rPr>
              <w:t>代表作</w:t>
            </w:r>
          </w:p>
        </w:tc>
      </w:tr>
    </w:tbl>
    <w:p>
      <w:pPr>
        <w:widowControl/>
        <w:numPr>
          <w:ilvl w:val="0"/>
          <w:numId w:val="1"/>
        </w:numPr>
        <w:kinsoku w:val="0"/>
        <w:autoSpaceDE w:val="0"/>
        <w:autoSpaceDN w:val="0"/>
        <w:adjustRightInd w:val="0"/>
        <w:snapToGrid w:val="0"/>
        <w:jc w:val="left"/>
        <w:rPr>
          <w:rFonts w:ascii="楷体" w:hAnsi="楷体" w:eastAsia="楷体" w:cs="楷体"/>
          <w:color w:val="000000"/>
          <w:spacing w:val="-1"/>
          <w:kern w:val="0"/>
          <w:szCs w:val="21"/>
        </w:rPr>
      </w:pPr>
      <w:r>
        <w:rPr>
          <w:rFonts w:hint="eastAsia" w:ascii="仿宋" w:hAnsi="仿宋" w:eastAsia="仿宋" w:cs="仿宋"/>
          <w:color w:val="000000"/>
          <w:spacing w:val="-2"/>
          <w:kern w:val="0"/>
          <w:szCs w:val="21"/>
        </w:rPr>
        <w:t>附在参评作品推荐表后。2.三篇代表作必须从开头、中间、结尾三部</w:t>
      </w:r>
      <w:r>
        <w:rPr>
          <w:rFonts w:hint="eastAsia" w:ascii="仿宋" w:hAnsi="仿宋" w:eastAsia="仿宋" w:cs="仿宋"/>
          <w:color w:val="000000"/>
          <w:kern w:val="0"/>
          <w:szCs w:val="21"/>
        </w:rPr>
        <w:t>分中</w:t>
      </w:r>
      <w:r>
        <w:rPr>
          <w:rFonts w:hint="eastAsia" w:ascii="仿宋" w:hAnsi="仿宋" w:eastAsia="仿宋" w:cs="仿宋"/>
          <w:color w:val="000000"/>
          <w:spacing w:val="-10"/>
          <w:kern w:val="0"/>
          <w:szCs w:val="21"/>
        </w:rPr>
        <w:t>各</w:t>
      </w:r>
      <w:r>
        <w:rPr>
          <w:rFonts w:hint="eastAsia" w:ascii="仿宋" w:hAnsi="仿宋" w:eastAsia="仿宋" w:cs="仿宋"/>
          <w:color w:val="000000"/>
          <w:spacing w:val="-5"/>
          <w:kern w:val="0"/>
          <w:szCs w:val="21"/>
        </w:rPr>
        <w:t>选1篇，并在“备注”栏内注明“代表作”字样。3.填报作品按发表时间</w:t>
      </w:r>
      <w:r>
        <w:rPr>
          <w:rFonts w:hint="eastAsia" w:ascii="仿宋" w:hAnsi="仿宋" w:eastAsia="仿宋" w:cs="仿宋"/>
          <w:color w:val="000000"/>
          <w:spacing w:val="-2"/>
          <w:kern w:val="0"/>
          <w:szCs w:val="21"/>
        </w:rPr>
        <w:t>排序。4.音视频内容</w:t>
      </w:r>
      <w:r>
        <w:rPr>
          <w:rFonts w:hint="eastAsia" w:ascii="仿宋" w:hAnsi="仿宋" w:eastAsia="仿宋" w:cs="仿宋"/>
          <w:color w:val="000000"/>
          <w:spacing w:val="-1"/>
          <w:kern w:val="0"/>
          <w:szCs w:val="21"/>
        </w:rPr>
        <w:t>，应填报时长。5.广播、电视、新媒体作品在“刊播日</w:t>
      </w:r>
      <w:r>
        <w:rPr>
          <w:rFonts w:hint="eastAsia" w:ascii="仿宋" w:hAnsi="仿宋" w:eastAsia="仿宋" w:cs="仿宋"/>
          <w:color w:val="000000"/>
          <w:spacing w:val="-2"/>
          <w:kern w:val="0"/>
          <w:szCs w:val="21"/>
        </w:rPr>
        <w:t>期”栏内填报播出日期及</w:t>
      </w:r>
      <w:r>
        <w:rPr>
          <w:rFonts w:hint="eastAsia" w:ascii="仿宋" w:hAnsi="仿宋" w:eastAsia="仿宋" w:cs="仿宋"/>
          <w:color w:val="000000"/>
          <w:spacing w:val="-1"/>
          <w:kern w:val="0"/>
          <w:szCs w:val="21"/>
        </w:rPr>
        <w:t>时间；在“刊播版面”栏内填报作品刊播频道、频率、账号和栏目名称。</w:t>
      </w:r>
    </w:p>
    <w:p>
      <w:pPr>
        <w:widowControl/>
        <w:autoSpaceDE w:val="0"/>
        <w:autoSpaceDN w:val="0"/>
        <w:adjustRightInd w:val="0"/>
        <w:snapToGrid w:val="0"/>
        <w:jc w:val="left"/>
        <w:rPr>
          <w:rFonts w:ascii="楷体" w:hAnsi="楷体" w:eastAsia="楷体" w:cs="楷体"/>
          <w:color w:val="000000"/>
          <w:spacing w:val="-1"/>
          <w:kern w:val="0"/>
          <w:sz w:val="28"/>
          <w:szCs w:val="28"/>
        </w:rPr>
      </w:pPr>
    </w:p>
    <w:p>
      <w:pPr>
        <w:widowControl/>
        <w:jc w:val="left"/>
        <w:rPr>
          <w:rFonts w:ascii="Arial" w:hAnsi="Arial" w:eastAsia="Arial" w:cs="Arial"/>
          <w:color w:val="000000"/>
          <w:kern w:val="0"/>
          <w:szCs w:val="21"/>
        </w:rPr>
      </w:pPr>
    </w:p>
    <w:p>
      <w:pPr>
        <w:widowControl/>
        <w:jc w:val="left"/>
        <w:rPr>
          <w:rFonts w:ascii="Arial" w:hAnsi="Arial" w:eastAsia="Arial" w:cs="Arial"/>
          <w:color w:val="000000"/>
          <w:kern w:val="0"/>
          <w:szCs w:val="21"/>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color w:val="000000"/>
          <w:kern w:val="0"/>
          <w:sz w:val="28"/>
          <w:szCs w:val="28"/>
          <w:lang w:eastAsia="zh-Hans"/>
        </w:rPr>
      </w:pPr>
      <w:r>
        <w:rPr>
          <w:rFonts w:hint="eastAsia" w:ascii="仿宋" w:hAnsi="仿宋" w:eastAsia="仿宋" w:cs="仿宋"/>
          <w:b/>
          <w:bCs/>
          <w:color w:val="000000"/>
          <w:kern w:val="0"/>
          <w:sz w:val="28"/>
          <w:szCs w:val="28"/>
          <w:lang w:val="en-US" w:eastAsia="zh-Hans"/>
        </w:rPr>
        <w:t>代表作</w:t>
      </w:r>
      <w:r>
        <w:rPr>
          <w:rFonts w:hint="default" w:ascii="仿宋" w:hAnsi="仿宋" w:eastAsia="仿宋" w:cs="仿宋"/>
          <w:b/>
          <w:bCs/>
          <w:color w:val="000000"/>
          <w:kern w:val="0"/>
          <w:sz w:val="28"/>
          <w:szCs w:val="28"/>
          <w:lang w:eastAsia="zh-Hans"/>
        </w:rPr>
        <w:t>1</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eastAsia="zh-Hans"/>
        </w:rPr>
        <w:t>（近观中国•冬奥）</w:t>
      </w:r>
      <w:r>
        <w:rPr>
          <w:rFonts w:hint="eastAsia" w:ascii="仿宋" w:hAnsi="仿宋" w:eastAsia="仿宋" w:cs="仿宋"/>
          <w:b/>
          <w:bCs/>
          <w:color w:val="000000"/>
          <w:kern w:val="0"/>
          <w:sz w:val="28"/>
          <w:szCs w:val="28"/>
        </w:rPr>
        <w:t>答冬奥关键三问，习近平告诉世界“中国准备好了”</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中新社北京1月30日电  题：答冬奥关键三问，习近平告诉世界“中国准备好了”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作者  钟三屏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“从无到有啊！2015年申办成功，奔着当时提出的愿景目标，我们按计划一件事一件事地办，都办成了。走到今天不容易。”</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北京2022年冬奥会倒计时30天之际，中国最高领导人习近平在北京专题调研冬奥会、冬残奥会筹备工作，发出如此感慨。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七年一瞬。回首中国冬奥之路，从申办到筹办，从统筹疫情防控到压线督战“冲刺”，习近平带领中国一路走来，回答着世界关于北京冬奥的关键之问。</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——夏奥之后，中国为什么要办冬奥？</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2008年北京奥运会，改变中国、惊艳世界。彼时，担任北京奥运会、残奥会筹备工作领导小组组长的正是习近平。</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从夏季运动到冰雪运动，从筹办夏奥到申办冬奥，习近平与奥林匹克运动的故事仍在继续，也让更多人读懂中国举办冬奥会的考量。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2015年，中国申冬奥成功。此后，北京、延庆、张家口三个赛区都留下了习近平的“冬奥足迹”，5次实地考察筹办工作，数次作出指示批示，对于冬奥的一系列谋划也更加完整清晰——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冬奥被置于中国体育发展的蓝图中，把竞技体育搞得更好、更快、更高、更强，同时大力发展群众体育，通过全民健身实现全民健康；</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冬奥被嵌入到区域的协调发展中，通过一体谋划、一体实施，实现北京同河北比翼齐飞；</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冬奥被纳入中国共产党的百年奋斗目标中，“推动我国冰雪运动跨越式发展是实现第二个百年奋斗目标的重要组成部分”；</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冬奥被写进民族复兴的叙事里，“不仅可以增强实现民族伟大复兴的信心，也给世界展现了阳光、富强、开放、充满希望的国家形象”……</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正如评论指出，经历了从站起来、富起来到强起来的中华民族，在新时代的历史坐标上点燃冰雪运动火炬的意义，绝不限于冬奥会本身。</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——非常之时，北京冬奥能否如期举行？</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成功申奥后，能否如期办会，一直是世界对于主办国筹办工作的核心关切。历史上，也曾有主办国因为内部或外部原因，延期甚至放弃举办奥运会的先例。</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而在新冠疫情肆虐致使东京奥运会延期、世界大型体育赛事停摆甚至取消的现实下，中国能否如期举办冬奥会，成为一个关键之问。</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“办好北京冬奥会、冬残奥会是我们对国际社会的庄严承诺。”习近平反复申明的这句话，也让世界看到了中国的回答：疫情“加试”下，中国将如期举办冬奥会。</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面对变数，中国既“以不变应万变”，确保冬奥会、冬残奥会如期举行目标不变；也“以变应变”，迅速把筹办工作的重点放在统筹抓好疫情防控和组织好赛事上来。</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非常时期当有非常之举。疫情一度让中国经济社会按下“暂停键”，但冬奥筹办依然被列入优先考量。所有场馆建设提前一年完成，很多冰雪项目在两年多时间里实现从无到有，有的项目达到了世界先进水平……工作没间断、力度没减弱、标准没降低，中国以十足的行动力给奥林匹克运动打下独特的“中国印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我们赞赏中国的效率、决心和活力！”1月25日，北京钓鱼台国宾馆，抵华出席北京冬奥相关活动的国际奥委会主席巴赫对习近平主席说。他还感叹，在中方相关部门和中国人民共同努力下，北京冬奥会各项筹备工作十分出色顺利，场馆之精彩、防疫措施之周全、可持续运营理念之先进令人赞叹。</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习近平则表示，经过6年多筹办，北京冬奥会各项准备工作已经就绪，即将如期如约顺利举办。他重申：“我们将兑现承诺，向世界呈现一届简约、安全、精彩的奥运盛会。”</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——疫情之下，北京冬奥怎么办？</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“对北京冬奥会、冬残奥会来讲，做好新冠肺炎疫情防控工作是最大的考验。”在新年伊始的那次调研中，习近平坦陈，顺利举办即成功。</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安全，历来被国际奥委会看作是办会的头等大事。此次疫情之下举办冬奥会，习近平强调，要始终绷紧疫情防控这根弦，严格执行各项疫情防控措施，优化全过程闭环管理流程，确保安全。</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疫情之下，如何安全办赛？中国的应对，既有宏观政策指导：发布并不断完善《北京2022年冬奥会和冬残奥会防疫手册》；也下“绣花功夫”：培训1.9万名赛会志愿者，助力赛时安全保障的方方面面；更有科技创新“赋能”：百余“智能防疫员”上岗进行健康查验，“黑科技”快速检测空气中的新冠病毒……</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中国周密的防控措施也给外国运动员以信心。“只要到了冬奥会，我相信那就是到了最安全的地方。”在动身参加北京冬奥会之前，奥地利单板滑雪奥运冠军安娜·加塞尔说。</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而在奥林匹克运动的发源地，希腊“现代外交”网站则刊文表示，中国致力于呈现一届“简约、安全、精彩”的冬奥会，包括将疫情风险降到最低，保护各国运动员。“中国做出了合理和负责任的努力。”</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北京冬奥会大幕将启，一切呼应着习近平的冬奥之约：“世界期待中国，中国做好了准备。”（完）</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仿宋" w:hAnsi="仿宋" w:eastAsia="仿宋" w:cs="仿宋"/>
          <w:b/>
          <w:bCs/>
          <w:color w:val="000000"/>
          <w:kern w:val="0"/>
          <w:sz w:val="28"/>
          <w:szCs w:val="28"/>
          <w:lang w:eastAsia="zh-Hans"/>
        </w:rPr>
      </w:pPr>
      <w:r>
        <w:rPr>
          <w:rFonts w:hint="eastAsia" w:ascii="仿宋" w:hAnsi="仿宋" w:eastAsia="仿宋" w:cs="仿宋"/>
          <w:b/>
          <w:bCs/>
          <w:color w:val="000000"/>
          <w:kern w:val="0"/>
          <w:sz w:val="28"/>
          <w:szCs w:val="28"/>
          <w:lang w:val="en-US" w:eastAsia="zh-Hans"/>
        </w:rPr>
        <w:t>代表作</w:t>
      </w:r>
      <w:r>
        <w:rPr>
          <w:rFonts w:hint="default" w:ascii="仿宋" w:hAnsi="仿宋" w:eastAsia="仿宋" w:cs="仿宋"/>
          <w:b/>
          <w:bCs/>
          <w:color w:val="000000"/>
          <w:kern w:val="0"/>
          <w:sz w:val="28"/>
          <w:szCs w:val="28"/>
          <w:lang w:eastAsia="zh-Hans"/>
        </w:rPr>
        <w:t>2</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eastAsia="zh-Hans"/>
        </w:rPr>
        <w:t>（近观中国•冬奥）</w:t>
      </w:r>
      <w:r>
        <w:rPr>
          <w:rFonts w:hint="eastAsia" w:ascii="仿宋" w:hAnsi="仿宋" w:eastAsia="仿宋" w:cs="仿宋"/>
          <w:b/>
          <w:bCs/>
          <w:color w:val="000000"/>
          <w:kern w:val="0"/>
          <w:sz w:val="28"/>
          <w:szCs w:val="28"/>
        </w:rPr>
        <w:t>从北京到北京，习近平带给“奥运中国”的三色印记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中新社北京1月31日电    题：从北京到北京，习近平带给“奥运中国”的三色印记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作者  钟三屏</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“我真希望给习主席颁发一枚金牌！”国际奥委会主席巴赫曾说，就推动奥林匹克运动而言，习近平是当之无愧的冠军。</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担任2008年北京奥运会、残奥会筹备工作领导小组组长，助力中国百年奥运梦圆；2015年为北京携手张家口申办冬奥代言，打动世界；挂念冬奥筹办进度，五度实地考察……中国最高领导人习近平与“奥运中国”的交集多且深。</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从北京到北京，象征人类文明的奥林匹克与中国两次相遇、彼此成就。奥运与中国大地的“化学反应”已经发生，并仍在继续。</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观察家指出，习近平站在“国与民”的高度运筹奥运这件大事，为中国增添了多彩的“奥运印记”。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从城市肌理的维度看，习近平给“奥运中国”带来绿色印记。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2008年北京奥运会，“绿色承诺”超额兑现；2022年北京冬奥会，“绿色办奥”位列四大理念之首，也是习近平在多个场合讲话的高频词，辐射办奥实践各个环节。</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在2022年1月初的考察中，习近平了解了低碳化零排放的制冰技术，细数“水立方”变身“冰立方”等妙法，为冬奥村赛后转换为人才公寓的做法点赞。</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“绿色场馆”之外，京张高铁、新能源公交车所代表的绿色交通，“张北的风点亮北京的灯”所指向的绿色能源，通过生态涵养和节水技术解决“雪从哪里来”的难题……绿色融于城市肌理变迁的一个个细节里。</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有外媒认为，北京冬奥会“将是一项碳中和赛事”。</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把发展体育事业同促进生态文明建设结合起来”“为冬奥会打下美丽中国底色”“为推动经济社会发展全面绿色转型、实现碳达峰碳中和作出贡献”——在习近平的设计图上，冬奥会是中国绿色发展的承载，更是新起点。</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从经济联结的维度看，习近平给“奥运中国”带来金色印记。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张家口的蜕变，以申办冬奥成功为界，由塞外山城变身聚宝盆，“冬季到张家口来滑雪”成为时尚，运动休闲产业兴起，冰雪装备制造业发展壮大。</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在“冬奥小城”崇礼，每五个人之中就有一个人从事和冰雪相关的工作，超过3万人端上“雪饭碗”。</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“冰天雪地也是金山银山”，习近平当年送给东北的话，如今也已成为张家口的写照。</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金色印记来自于运筹。习近平强调，“要把筹办冬奥会、冬残奥会作为推动京津冀协同发展的重要抓手”“进一步发挥北京对京津冀区域发展的辐射带动作用”“加快建设京张体育文化旅游带”。随着路网升级、冬奥一小时生活圈形成，京张联系更为紧密，体育文化旅游带逐渐变得立体。</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观察家认为，京张携手办冬奥的设计与实践，嵌套于区域经济协调发展的国家大目标下，是京津冀协同发展点睛的重要一笔，中外企业也从中国的冰雪经济中淘宝掘金。</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从国家“精气神”的维度看，习近平给“奥运中国”带来红色印记。</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一百多年前，中国教育家张伯苓预言，“奥运举办之日，就是我中华腾飞之时”。</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中国人的观念里，红色代表喜庆、圆满，2008年北京奥运会让“中国红”成为世界感知中国热情与自信的色彩。承袭北京奥运会的荣光，北京冬奥会更有底气，也有了更高远、更具文明内涵的追求，“中国红”愈加明艳。</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观察家指出，在习近平的体育观里，国家的现代化和人的现代化是落点所在。他认为“全民健身运动的普及和参与国际体育合作的程度”关乎一个国家的现代化程度，坚信“没有全民健康，就没有全面小康”。</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正因如此，借冬奥契机“带动三亿人参与冰雪运动”，让冰雪运动成为一种文化和生活方式，赋能体育强国和健康中国，夯实国家“精气神”的基础，成为应有之义。</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置于大的时代背景下，习近平把北京冬奥会定位为“我国重要历史节点的重大标志性活动”，以及“展现国家形象、促进国家发展、振奋民族精神的重要契机”。</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充满中国元素的场馆建筑、彰显中国科研实力的技术应用、热情的冬奥志愿者、为北京加油助阵的海外同胞……国家“精气神”处处皆可感知。</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从“北京欢迎你”到“一起向未来”，“中国红”在延续中升华；当冬奥遇上红色中国年，碰撞出别样“中国之韵”。（完）</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default" w:ascii="仿宋" w:hAnsi="仿宋" w:eastAsia="仿宋" w:cs="仿宋"/>
          <w:b/>
          <w:bCs/>
          <w:color w:val="000000"/>
          <w:kern w:val="0"/>
          <w:sz w:val="28"/>
          <w:szCs w:val="28"/>
          <w:lang w:eastAsia="zh-Hans"/>
        </w:rPr>
      </w:pPr>
      <w:r>
        <w:rPr>
          <w:rFonts w:hint="eastAsia" w:ascii="仿宋" w:hAnsi="仿宋" w:eastAsia="仿宋" w:cs="仿宋"/>
          <w:b/>
          <w:bCs/>
          <w:color w:val="000000"/>
          <w:kern w:val="0"/>
          <w:sz w:val="28"/>
          <w:szCs w:val="28"/>
          <w:lang w:val="en-US" w:eastAsia="zh-Hans"/>
        </w:rPr>
        <w:t>代表作</w:t>
      </w:r>
      <w:r>
        <w:rPr>
          <w:rFonts w:hint="default" w:ascii="仿宋" w:hAnsi="仿宋" w:eastAsia="仿宋" w:cs="仿宋"/>
          <w:b/>
          <w:bCs/>
          <w:color w:val="000000"/>
          <w:kern w:val="0"/>
          <w:sz w:val="28"/>
          <w:szCs w:val="28"/>
          <w:lang w:eastAsia="zh-Hans"/>
        </w:rPr>
        <w:t>3</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lang w:eastAsia="zh-Hans"/>
        </w:rPr>
        <w:t>（近观中国•冬奥）</w:t>
      </w:r>
      <w:r>
        <w:rPr>
          <w:rFonts w:hint="eastAsia" w:ascii="仿宋" w:hAnsi="仿宋" w:eastAsia="仿宋" w:cs="仿宋"/>
          <w:b/>
          <w:bCs/>
          <w:color w:val="000000"/>
          <w:kern w:val="0"/>
          <w:sz w:val="28"/>
          <w:szCs w:val="28"/>
        </w:rPr>
        <w:t>相知“冰雪”中，习近平成就中外互动的另一种叙事</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中新社北京2月2日电　题：相知“冰雪”中，习近平成就中外互动的另一种叙事</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作者　钟三屏</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“啪！”</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伴随着清脆的声响，中国国家主席习近平和俄罗斯总统普京共执的冰球落向冰面。天津体育馆内，两国青少年冰球友谊赛正式开球，热情的观众掀起涌动的人浪。</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2018年，这个中俄元首互动的画面，成为两国之间友好交往的经典缩影，也书写下习近平以冰雪运动会友的又一个动人故事。</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伴随着北京冬奥会的脚步渐行渐近，细心的人们发现，冰雪运动早已走进中国最高领导人的外事日程表，被习近平频频带到外交场合。以冰雪运动会友，正在成为中国外交的一道别样风景，也展现出中外互动的另一种叙事。</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作为首位出席境外大型国际体育赛事开幕式的中国元首，习近平在2014年索契冬奥会开幕式的现场，给世界带来不一样的中国形象。</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冰雪运动营造的友好氛围下，索契冬奥会的主火炬尚未点燃，多边外交舞台已经热闹非凡。习近平短短43个小时里出席了12场活动，既包括元首会晤等双边活动，又有出席开幕式、参加招待会等多边互动，还有接受俄罗斯媒体专访等公共外交日程。有评论指出，以冰雪运动为媒，中国最高领导人在国际多边舞台上，与各国共同谱写出梦想交织共鸣的动人乐章。</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冰雪运动，不仅是中国在多边外交场合广聚朋友的“共同语言”，更是在双边交往中深化友谊的“金钥匙”。</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习近平在2017年访问芬兰时，于芬兰总统尼尼斯托举行的欢迎宴会上，获赠中芬两国冰雪运动员送上的运动衣，两国元首商定将2019年定为中芬冬季运动年。</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2019年，在尼尼斯托总统访华时，为衬托冬季运动主题，北京的人民大会堂西大厅被冰雪元素装扮一新，中国的大熊猫和芬兰的驯鹿在银装素裹背景下相映成趣。</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一来一往之间，中芬冬季运动年正式开启，两国人文交流再添“冰雪元素”。</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随着冬奥会正式进入“北京时间”，这种相知于“冰雪”之中的独特叙事，也在向人们讲述着中国的“价值观”与“世界观”。</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正如习近平亲自录制视频助力北京申办冬奥时所言，“2022年冬奥会在中国举办，将有利于推动中华文明同世界各国文明交流互鉴，带动中国13亿多人关心、热爱、参与冰雪运动，让中国人民再次有机会为奥林匹克运动发展和奥林匹克精神传播作出贡献。”</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由此，外界不难读出，这种“价值观”以“人”为尺度，这种“世界观”以“相知”为底色。</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北京冬奥申办成功后，习近平2017年专程到访瑞士洛桑的国际奥委会总部。在拥有上万件展品的国际奥林匹克博物馆，国际奥委会主席巴赫陪同习近平参观并全程讲解。习近平则代表中国向国际奥委会送上苏绣《仕女蹴鞠图》，并向巴赫介绍中国古代“足球”。在浓缩着历史的博物馆，中外文明交流相知的一幕，恰与奥林匹克精神彼此映照。</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中外互动中，北京冬奥会不只向外界讲述“高大上”的故事。借助“带动三亿人参与冰雪运动”的东风，家门口的滑雪场、身边的志愿者、孩子们的滑冰课，勾勒出中国百姓日常生活的生动图景，更立体的中国形象在世界得到呈现。</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eastAsia="zh-Hans"/>
        </w:rPr>
        <w:t>“</w:t>
      </w:r>
      <w:r>
        <w:rPr>
          <w:rFonts w:hint="eastAsia" w:ascii="仿宋" w:hAnsi="仿宋" w:eastAsia="仿宋" w:cs="仿宋"/>
          <w:color w:val="000000"/>
          <w:kern w:val="0"/>
          <w:sz w:val="28"/>
          <w:szCs w:val="28"/>
        </w:rPr>
        <w:t>成功举办北京冬奥会、冬残奥会，不仅可以增强实现民族伟大复兴的信心，也给世界展现了阳光、富强、开放、充满希望的国家形象。”今年伊始，习近平在考察北京冬奥筹备工作时有感而发，“历史会镌刻下这一笔，世界将对中国道路有全新的认识。”</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2008年的北京，在全球40多亿电视观众的注目下，中国以一场无与伦比的奥运盛会刷新世界的“中国印象”。2022年，透过北京冬奥会的窗口，正不断推进新一轮高水平对外开放的中国将如何与外界互动，人们同样期待。</w:t>
      </w:r>
    </w:p>
    <w:p>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在“冰雪”中相知，中外互动的另一种叙事，已经悄然展开。（完）</w:t>
      </w:r>
    </w:p>
    <w:p>
      <w:pPr>
        <w:widowControl/>
        <w:jc w:val="left"/>
        <w:rPr>
          <w:rFonts w:ascii="Arial" w:hAnsi="Arial" w:eastAsia="Arial" w:cs="Arial"/>
          <w:color w:val="000000"/>
          <w:kern w:val="0"/>
          <w:szCs w:val="21"/>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DengXian">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DengXian">
    <w:altName w:val="汉仪中等线KW"/>
    <w:panose1 w:val="00000000000000000000"/>
    <w:charset w:val="86"/>
    <w:family w:val="auto"/>
    <w:pitch w:val="default"/>
    <w:sig w:usb0="00000000" w:usb1="00000000" w:usb2="00000000" w:usb3="00000000" w:csb0="00000000" w:csb1="00000000"/>
  </w:font>
  <w:font w:name="PingFang SC">
    <w:panose1 w:val="020B0400000000000000"/>
    <w:charset w:val="86"/>
    <w:family w:val="swiss"/>
    <w:pitch w:val="default"/>
    <w:sig w:usb0="00000000" w:usb1="00000000" w:usb2="00000000" w:usb3="00000000" w:csb0="00160000" w:csb1="00000000"/>
  </w:font>
  <w:font w:name="华文中宋">
    <w:altName w:val="汉仪书宋二KW"/>
    <w:panose1 w:val="02010600040101010101"/>
    <w:charset w:val="86"/>
    <w:family w:val="auto"/>
    <w:pitch w:val="default"/>
    <w:sig w:usb0="00000000" w:usb1="00000000" w:usb2="00000000" w:usb3="00000000" w:csb0="0004009F" w:csb1="DFD70000"/>
  </w:font>
  <w:font w:name="汉仪中黑KW">
    <w:panose1 w:val="0002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DengXian">
    <w:altName w:val="汉仪中等线KW"/>
    <w:panose1 w:val="00000000000000000000"/>
    <w:charset w:val="00"/>
    <w:family w:val="auto"/>
    <w:pitch w:val="default"/>
    <w:sig w:usb0="00000000" w:usb1="00000000" w:usb2="00000000" w:usb3="00000000" w:csb0="00000000" w:csb1="00000000"/>
  </w:font>
  <w:font w:name="冬青黑体简体中文">
    <w:panose1 w:val="020B0300000000000000"/>
    <w:charset w:val="86"/>
    <w:family w:val="auto"/>
    <w:pitch w:val="default"/>
    <w:sig w:usb0="00000000" w:usb1="00000000" w:usb2="00000000" w:usb3="00000000" w:csb0="00160000" w:csb1="00000000"/>
  </w:font>
  <w:font w:name="宋体-简">
    <w:panose1 w:val="0201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29865191"/>
    </w:sdtPr>
    <w:sdtContent>
      <w:p>
        <w:pPr>
          <w:pStyle w:val="2"/>
          <w:jc w:val="center"/>
        </w:pPr>
        <w:r>
          <w:fldChar w:fldCharType="begin"/>
        </w:r>
        <w:r>
          <w:instrText xml:space="preserve">PAGE   \* MERGEFORMAT</w:instrText>
        </w:r>
        <w:r>
          <w:fldChar w:fldCharType="separate"/>
        </w:r>
        <w:r>
          <w:rPr>
            <w:lang w:val="zh-CN"/>
          </w:rPr>
          <w:t>27</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299FD6"/>
    <w:multiLevelType w:val="singleLevel"/>
    <w:tmpl w:val="D5299FD6"/>
    <w:lvl w:ilvl="0" w:tentative="0">
      <w:start w:val="1"/>
      <w:numFmt w:val="decimal"/>
      <w:lvlText w:val="%1."/>
      <w:lvlJc w:val="left"/>
      <w:pPr>
        <w:tabs>
          <w:tab w:val="left" w:pos="312"/>
        </w:tabs>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5"/>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WFhOWJjMDBlNWUxOWZjN2FkY2JjNmYwZDdiZDYifQ=="/>
  </w:docVars>
  <w:rsids>
    <w:rsidRoot w:val="000B6399"/>
    <w:rsid w:val="000001AC"/>
    <w:rsid w:val="00013A1E"/>
    <w:rsid w:val="0001434B"/>
    <w:rsid w:val="0002332F"/>
    <w:rsid w:val="00050640"/>
    <w:rsid w:val="0005789D"/>
    <w:rsid w:val="0006295B"/>
    <w:rsid w:val="00063926"/>
    <w:rsid w:val="00085CCD"/>
    <w:rsid w:val="000A4192"/>
    <w:rsid w:val="000B6399"/>
    <w:rsid w:val="000C217B"/>
    <w:rsid w:val="000C3A22"/>
    <w:rsid w:val="000C5ACF"/>
    <w:rsid w:val="001078CA"/>
    <w:rsid w:val="00142CF4"/>
    <w:rsid w:val="00173537"/>
    <w:rsid w:val="00177D9F"/>
    <w:rsid w:val="001915F1"/>
    <w:rsid w:val="001A5E28"/>
    <w:rsid w:val="001B4E2C"/>
    <w:rsid w:val="001D4E25"/>
    <w:rsid w:val="001D71D3"/>
    <w:rsid w:val="001E1110"/>
    <w:rsid w:val="00224158"/>
    <w:rsid w:val="002452F7"/>
    <w:rsid w:val="002A25F2"/>
    <w:rsid w:val="002A5862"/>
    <w:rsid w:val="002A5ADC"/>
    <w:rsid w:val="002C5B05"/>
    <w:rsid w:val="002E0135"/>
    <w:rsid w:val="002E7030"/>
    <w:rsid w:val="002E70D8"/>
    <w:rsid w:val="003108FB"/>
    <w:rsid w:val="00313FFA"/>
    <w:rsid w:val="00317AAB"/>
    <w:rsid w:val="003204A9"/>
    <w:rsid w:val="003222EC"/>
    <w:rsid w:val="00324C28"/>
    <w:rsid w:val="00340CFE"/>
    <w:rsid w:val="003417F3"/>
    <w:rsid w:val="00344303"/>
    <w:rsid w:val="00354D04"/>
    <w:rsid w:val="00383352"/>
    <w:rsid w:val="003B7DC8"/>
    <w:rsid w:val="003C7620"/>
    <w:rsid w:val="003D4125"/>
    <w:rsid w:val="003D73F1"/>
    <w:rsid w:val="0041136F"/>
    <w:rsid w:val="0041568B"/>
    <w:rsid w:val="004215E5"/>
    <w:rsid w:val="00423D81"/>
    <w:rsid w:val="004264C3"/>
    <w:rsid w:val="00426F03"/>
    <w:rsid w:val="0045002D"/>
    <w:rsid w:val="00465524"/>
    <w:rsid w:val="00470842"/>
    <w:rsid w:val="0047175D"/>
    <w:rsid w:val="00482273"/>
    <w:rsid w:val="004A5339"/>
    <w:rsid w:val="004B01C7"/>
    <w:rsid w:val="004C0172"/>
    <w:rsid w:val="005114DC"/>
    <w:rsid w:val="0053797F"/>
    <w:rsid w:val="00555268"/>
    <w:rsid w:val="00555B17"/>
    <w:rsid w:val="00555DA9"/>
    <w:rsid w:val="0057115D"/>
    <w:rsid w:val="00573870"/>
    <w:rsid w:val="005761FE"/>
    <w:rsid w:val="0057673A"/>
    <w:rsid w:val="00581014"/>
    <w:rsid w:val="005A7EEA"/>
    <w:rsid w:val="005B7655"/>
    <w:rsid w:val="005C1CBF"/>
    <w:rsid w:val="005D675E"/>
    <w:rsid w:val="005E119E"/>
    <w:rsid w:val="005F1574"/>
    <w:rsid w:val="0062438F"/>
    <w:rsid w:val="0062576D"/>
    <w:rsid w:val="0062755C"/>
    <w:rsid w:val="00653310"/>
    <w:rsid w:val="00656BDB"/>
    <w:rsid w:val="006649E6"/>
    <w:rsid w:val="006708A8"/>
    <w:rsid w:val="006A37F9"/>
    <w:rsid w:val="006A59A2"/>
    <w:rsid w:val="006A7AA0"/>
    <w:rsid w:val="006B3AEC"/>
    <w:rsid w:val="006C30D2"/>
    <w:rsid w:val="006D7818"/>
    <w:rsid w:val="006E0F59"/>
    <w:rsid w:val="006E4DD6"/>
    <w:rsid w:val="007000AC"/>
    <w:rsid w:val="007053CA"/>
    <w:rsid w:val="007174E1"/>
    <w:rsid w:val="0073471C"/>
    <w:rsid w:val="00745A11"/>
    <w:rsid w:val="007530D8"/>
    <w:rsid w:val="00755B32"/>
    <w:rsid w:val="007663E4"/>
    <w:rsid w:val="00770904"/>
    <w:rsid w:val="007806DE"/>
    <w:rsid w:val="007B3B63"/>
    <w:rsid w:val="007B6D4F"/>
    <w:rsid w:val="007C11CE"/>
    <w:rsid w:val="007C7B45"/>
    <w:rsid w:val="007E6A8F"/>
    <w:rsid w:val="007F0469"/>
    <w:rsid w:val="007F4C9E"/>
    <w:rsid w:val="0080303D"/>
    <w:rsid w:val="008178A7"/>
    <w:rsid w:val="00817CDB"/>
    <w:rsid w:val="008256C0"/>
    <w:rsid w:val="00843952"/>
    <w:rsid w:val="008510AA"/>
    <w:rsid w:val="0086283D"/>
    <w:rsid w:val="00876AAD"/>
    <w:rsid w:val="00894EAE"/>
    <w:rsid w:val="008A4E65"/>
    <w:rsid w:val="008B7F69"/>
    <w:rsid w:val="008C13CC"/>
    <w:rsid w:val="008C5657"/>
    <w:rsid w:val="008C651A"/>
    <w:rsid w:val="008F55B7"/>
    <w:rsid w:val="00931463"/>
    <w:rsid w:val="009356E8"/>
    <w:rsid w:val="009476EF"/>
    <w:rsid w:val="00970BA7"/>
    <w:rsid w:val="009737F3"/>
    <w:rsid w:val="009741D3"/>
    <w:rsid w:val="009813FC"/>
    <w:rsid w:val="00993FFE"/>
    <w:rsid w:val="009D2FCB"/>
    <w:rsid w:val="009D3653"/>
    <w:rsid w:val="009F4520"/>
    <w:rsid w:val="00A12DC5"/>
    <w:rsid w:val="00A1389A"/>
    <w:rsid w:val="00A2277D"/>
    <w:rsid w:val="00A31B91"/>
    <w:rsid w:val="00A347AD"/>
    <w:rsid w:val="00A4004B"/>
    <w:rsid w:val="00A518BE"/>
    <w:rsid w:val="00A623F3"/>
    <w:rsid w:val="00A807A5"/>
    <w:rsid w:val="00A95E68"/>
    <w:rsid w:val="00AA1B40"/>
    <w:rsid w:val="00AA5116"/>
    <w:rsid w:val="00AE5D46"/>
    <w:rsid w:val="00B023A4"/>
    <w:rsid w:val="00B02854"/>
    <w:rsid w:val="00B175C2"/>
    <w:rsid w:val="00B21889"/>
    <w:rsid w:val="00B42B87"/>
    <w:rsid w:val="00B658EA"/>
    <w:rsid w:val="00B704C5"/>
    <w:rsid w:val="00B75994"/>
    <w:rsid w:val="00B772B3"/>
    <w:rsid w:val="00B94E6A"/>
    <w:rsid w:val="00B95D06"/>
    <w:rsid w:val="00BA4215"/>
    <w:rsid w:val="00BB0935"/>
    <w:rsid w:val="00BD1052"/>
    <w:rsid w:val="00BD2D00"/>
    <w:rsid w:val="00BD56CC"/>
    <w:rsid w:val="00BF5D52"/>
    <w:rsid w:val="00C00C32"/>
    <w:rsid w:val="00C05328"/>
    <w:rsid w:val="00C27023"/>
    <w:rsid w:val="00C44309"/>
    <w:rsid w:val="00C77EEB"/>
    <w:rsid w:val="00C9399C"/>
    <w:rsid w:val="00CB482F"/>
    <w:rsid w:val="00CD1C78"/>
    <w:rsid w:val="00D005DA"/>
    <w:rsid w:val="00D073F6"/>
    <w:rsid w:val="00D1076E"/>
    <w:rsid w:val="00D141F2"/>
    <w:rsid w:val="00D17C78"/>
    <w:rsid w:val="00D72174"/>
    <w:rsid w:val="00D74A9C"/>
    <w:rsid w:val="00D82734"/>
    <w:rsid w:val="00D86633"/>
    <w:rsid w:val="00D952B8"/>
    <w:rsid w:val="00D970D2"/>
    <w:rsid w:val="00D97B2F"/>
    <w:rsid w:val="00DB13D3"/>
    <w:rsid w:val="00DD0582"/>
    <w:rsid w:val="00DD61EA"/>
    <w:rsid w:val="00DE4706"/>
    <w:rsid w:val="00DF784C"/>
    <w:rsid w:val="00E02126"/>
    <w:rsid w:val="00E05597"/>
    <w:rsid w:val="00E1370C"/>
    <w:rsid w:val="00E14B9A"/>
    <w:rsid w:val="00E22C2B"/>
    <w:rsid w:val="00E22F8A"/>
    <w:rsid w:val="00E41BD2"/>
    <w:rsid w:val="00E44114"/>
    <w:rsid w:val="00E530E6"/>
    <w:rsid w:val="00E53893"/>
    <w:rsid w:val="00E675C0"/>
    <w:rsid w:val="00E85298"/>
    <w:rsid w:val="00E936BC"/>
    <w:rsid w:val="00EA6888"/>
    <w:rsid w:val="00EB0D93"/>
    <w:rsid w:val="00EB34E9"/>
    <w:rsid w:val="00EB7EDD"/>
    <w:rsid w:val="00ED241B"/>
    <w:rsid w:val="00ED4B24"/>
    <w:rsid w:val="00ED6A64"/>
    <w:rsid w:val="00EF791B"/>
    <w:rsid w:val="00EF7ED0"/>
    <w:rsid w:val="00F01FF0"/>
    <w:rsid w:val="00F1144E"/>
    <w:rsid w:val="00F27F2C"/>
    <w:rsid w:val="00F3133E"/>
    <w:rsid w:val="00F31650"/>
    <w:rsid w:val="00F5298A"/>
    <w:rsid w:val="00F560A8"/>
    <w:rsid w:val="00F66E36"/>
    <w:rsid w:val="00F710B1"/>
    <w:rsid w:val="00F75883"/>
    <w:rsid w:val="00F80E12"/>
    <w:rsid w:val="00F91156"/>
    <w:rsid w:val="00FA75ED"/>
    <w:rsid w:val="00FE017C"/>
    <w:rsid w:val="0DD7A5D0"/>
    <w:rsid w:val="1FFF1393"/>
    <w:rsid w:val="384E270B"/>
    <w:rsid w:val="69E8077B"/>
    <w:rsid w:val="6ECC661E"/>
    <w:rsid w:val="79FFBB30"/>
    <w:rsid w:val="7BB9AC78"/>
    <w:rsid w:val="7EFEAAA6"/>
    <w:rsid w:val="847E0BA9"/>
    <w:rsid w:val="8BD30243"/>
    <w:rsid w:val="E7EE01B3"/>
    <w:rsid w:val="EC7D4ADC"/>
    <w:rsid w:val="EEDDFA5C"/>
    <w:rsid w:val="F7F589AC"/>
    <w:rsid w:val="F9FCC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PingFang SC"/>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color w:val="auto"/>
      <w:kern w:val="2"/>
      <w:sz w:val="21"/>
      <w:szCs w:val="22"/>
      <w:lang w:val="en-US" w:eastAsia="zh-CN" w:bidi="ar-SA"/>
      <w14:ligatures w14:val="none"/>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Theme="minorHAnsi" w:hAnsiTheme="minorHAnsi" w:cstheme="minorBidi"/>
      <w:color w:val="auto"/>
      <w:sz w:val="18"/>
      <w:szCs w:val="18"/>
      <w14:ligatures w14:val="none"/>
    </w:rPr>
  </w:style>
  <w:style w:type="table" w:customStyle="1" w:styleId="7">
    <w:name w:val="Table Normal"/>
    <w:qFormat/>
    <w:uiPriority w:val="0"/>
    <w:rPr>
      <w:rFonts w:ascii="Times New Roman" w:hAnsi="Times New Roman" w:eastAsia="宋体" w:cs="Times New Roman"/>
      <w:color w:val="auto"/>
      <w:kern w:val="0"/>
      <w:sz w:val="20"/>
      <w:szCs w:val="20"/>
      <w14:ligatures w14:val="none"/>
    </w:rPr>
    <w:tblPr>
      <w:tblCellMar>
        <w:top w:w="0" w:type="dxa"/>
        <w:left w:w="0" w:type="dxa"/>
        <w:bottom w:w="0" w:type="dxa"/>
        <w:right w:w="0" w:type="dxa"/>
      </w:tblCellMar>
    </w:tblPr>
  </w:style>
  <w:style w:type="character" w:customStyle="1" w:styleId="8">
    <w:name w:val="页眉 字符"/>
    <w:basedOn w:val="5"/>
    <w:link w:val="3"/>
    <w:qFormat/>
    <w:uiPriority w:val="99"/>
    <w:rPr>
      <w:rFonts w:asciiTheme="minorHAnsi" w:hAnsiTheme="minorHAnsi" w:cstheme="minorBidi"/>
      <w:color w:val="auto"/>
      <w:sz w:val="18"/>
      <w:szCs w:val="18"/>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2064</Words>
  <Characters>2116</Characters>
  <Lines>16</Lines>
  <Paragraphs>4</Paragraphs>
  <TotalTime>1</TotalTime>
  <ScaleCrop>false</ScaleCrop>
  <LinksUpToDate>false</LinksUpToDate>
  <CharactersWithSpaces>2143</CharactersWithSpaces>
  <Application>WPS Office_5.2.1.7798_F1E327BC-269C-435d-A152-05C5408002CA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2023-03-31T06:17:00Z</dcterms:created>
  <dc:creator>office office</dc:creator>
  <cp:lastModifiedBy>regina</cp:lastModifiedBy>
  <dcterms:modified xsi:type="dcterms:W3CDTF">2023-03-31T15:32:59Z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C383B3AF4493F08EBD4F26646FE2B492_43</vt:lpwstr>
  </property>
</Properties>
</file>