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color w:val="000000"/>
          <w:szCs w:val="32"/>
        </w:rPr>
      </w:pPr>
      <w:r>
        <w:rPr>
          <w:rFonts w:hint="eastAsia" w:ascii="黑体" w:hAnsi="黑体" w:eastAsia="黑体" w:cs="黑体"/>
          <w:bCs/>
          <w:color w:val="000000"/>
          <w:szCs w:val="32"/>
        </w:rPr>
        <w:t>附件4</w:t>
      </w:r>
    </w:p>
    <w:p>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4"/>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855"/>
        <w:gridCol w:w="1356"/>
        <w:gridCol w:w="3284"/>
      </w:tblGrid>
      <w:tr>
        <w:trPr>
          <w:cantSplit/>
          <w:trHeight w:val="729" w:hRule="exact"/>
        </w:trPr>
        <w:tc>
          <w:tcPr>
            <w:tcW w:w="1450" w:type="dxa"/>
            <w:vMerge w:val="restart"/>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华文中宋" w:hAnsi="华文中宋" w:eastAsia="华文中宋"/>
                <w:color w:val="000000"/>
                <w:sz w:val="28"/>
              </w:rPr>
            </w:pPr>
            <w:r>
              <w:rPr>
                <w:rFonts w:hint="eastAsia" w:ascii="仿宋" w:hAnsi="仿宋" w:eastAsia="仿宋" w:cs="仿宋"/>
                <w:color w:val="000000"/>
                <w:sz w:val="28"/>
              </w:rPr>
              <w:t>“人权观·中国叙事”系列报道</w:t>
            </w: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lang w:val="en-US" w:eastAsia="zh-CN"/>
              </w:rPr>
            </w:pPr>
            <w:r>
              <w:rPr>
                <w:rFonts w:hint="eastAsia" w:ascii="仿宋" w:hAnsi="仿宋" w:eastAsia="仿宋" w:cs="仿宋"/>
                <w:color w:val="000000"/>
                <w:sz w:val="28"/>
              </w:rPr>
              <w:t>系列</w:t>
            </w:r>
            <w:r>
              <w:rPr>
                <w:rFonts w:hint="eastAsia" w:ascii="仿宋" w:hAnsi="仿宋" w:eastAsia="仿宋" w:cs="仿宋"/>
                <w:color w:val="000000"/>
                <w:sz w:val="28"/>
                <w:lang w:val="en-US" w:eastAsia="zh-CN"/>
              </w:rPr>
              <w:t>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3"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评论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2"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14" w:hRule="atLeast"/>
        </w:trPr>
        <w:tc>
          <w:tcPr>
            <w:tcW w:w="1450" w:type="dxa"/>
            <w:vAlign w:val="center"/>
          </w:tcPr>
          <w:p>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4"/>
              </w:rPr>
              <w:t>（主创人员）</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集体（陈陆军、张雷、张量、邓敏、曾静宁、朱方芳、杨程晨、德永健、李晗雪）</w:t>
            </w:r>
          </w:p>
        </w:tc>
        <w:tc>
          <w:tcPr>
            <w:tcW w:w="855"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集体（尹宁、魏群、夏宇华、张红、唐伟杰、董会峰、文龙杰、王欢、郭金超、贾靖峰）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67" w:hRule="atLeast"/>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中国新闻社</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28" w:hRule="exact"/>
        </w:trPr>
        <w:tc>
          <w:tcPr>
            <w:tcW w:w="1450" w:type="dxa"/>
            <w:vAlign w:val="center"/>
          </w:tcPr>
          <w:p>
            <w:pPr>
              <w:spacing w:line="44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电讯通稿</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2022年5月</w:t>
            </w:r>
            <w:r>
              <w:rPr>
                <w:rFonts w:hint="eastAsia" w:ascii="仿宋" w:hAnsi="仿宋" w:eastAsia="仿宋" w:cs="仿宋"/>
                <w:color w:val="000000"/>
                <w:sz w:val="28"/>
                <w:lang w:val="en-US" w:eastAsia="zh-CN"/>
              </w:rPr>
              <w:t>20</w:t>
            </w:r>
            <w:r>
              <w:rPr>
                <w:rFonts w:hint="eastAsia" w:ascii="仿宋" w:hAnsi="仿宋" w:eastAsia="仿宋" w:cs="仿宋"/>
                <w:color w:val="000000"/>
                <w:sz w:val="28"/>
              </w:rPr>
              <w:t>日至2022年5月26日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9" w:hRule="exact"/>
        </w:trPr>
        <w:tc>
          <w:tcPr>
            <w:tcW w:w="2827" w:type="dxa"/>
            <w:gridSpan w:val="2"/>
            <w:vAlign w:val="center"/>
          </w:tcPr>
          <w:p>
            <w:pPr>
              <w:spacing w:line="340" w:lineRule="exact"/>
              <w:rPr>
                <w:rFonts w:ascii="仿宋_GB2312" w:hAnsi="仿宋"/>
                <w:color w:val="000000"/>
                <w:szCs w:val="21"/>
              </w:rPr>
            </w:pPr>
            <w:r>
              <w:rPr>
                <w:rFonts w:hint="eastAsia" w:ascii="华文中宋" w:hAnsi="华文中宋" w:eastAsia="华文中宋"/>
                <w:color w:val="000000"/>
                <w:sz w:val="28"/>
              </w:rPr>
              <w:t>新媒体作品填报网址</w:t>
            </w:r>
          </w:p>
        </w:tc>
        <w:tc>
          <w:tcPr>
            <w:tcW w:w="6797" w:type="dxa"/>
            <w:gridSpan w:val="4"/>
            <w:vAlign w:val="center"/>
          </w:tcPr>
          <w:p>
            <w:pPr>
              <w:spacing w:line="260" w:lineRule="exact"/>
              <w:rPr>
                <w:rFonts w:ascii="华文中宋" w:hAnsi="华文中宋" w:eastAsia="华文中宋"/>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07" w:hRule="atLeast"/>
        </w:trPr>
        <w:tc>
          <w:tcPr>
            <w:tcW w:w="1450" w:type="dxa"/>
            <w:vAlign w:val="center"/>
          </w:tcPr>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中国新闻社2022年围绕阐释习近平总书记关于保障和发展人权的重要论述，加强策划人权主题报道，构建中国人权叙事体系。其中，“人权观·中国叙事”系列学理性报道是</w:t>
            </w:r>
            <w:r>
              <w:rPr>
                <w:rFonts w:hint="eastAsia" w:ascii="仿宋" w:hAnsi="仿宋" w:eastAsia="仿宋" w:cs="仿宋"/>
                <w:sz w:val="28"/>
                <w:szCs w:val="28"/>
                <w:lang w:val="en-US" w:eastAsia="zh-CN"/>
              </w:rPr>
              <w:t>结合新闻事实开展的</w:t>
            </w:r>
            <w:r>
              <w:rPr>
                <w:rFonts w:hint="eastAsia" w:ascii="仿宋" w:hAnsi="仿宋" w:eastAsia="仿宋" w:cs="仿宋"/>
                <w:sz w:val="28"/>
                <w:szCs w:val="28"/>
              </w:rPr>
              <w:t>专门策划，旨在讲清中国人权成就和理念，并通过学理性阐述、中西比较，主动设置议题，树立中国人权观的学理叙事，对西方人权话语进行解构和重构，有力回应外界关切。</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系列报道通过与中外知名学者专家共同研究，确定了对中国人权理念核心叙事议题和中西比较下的人权核心议题进行阐发和评论，设置了如何理解中国“基于发展的人权路径”、如何认识中国人权成就重大意义、人权的真问题和假概念的辨析、中国5000年历史文化对中国人权观的塑造，以及如何促进中西人权观交流为全球人权治理</w:t>
            </w:r>
            <w:r>
              <w:rPr>
                <w:rFonts w:hint="eastAsia" w:ascii="仿宋" w:hAnsi="仿宋" w:eastAsia="仿宋" w:cs="仿宋"/>
                <w:sz w:val="28"/>
                <w:szCs w:val="28"/>
                <w:lang w:val="en-US" w:eastAsia="zh-CN"/>
              </w:rPr>
              <w:t>作</w:t>
            </w:r>
            <w:r>
              <w:rPr>
                <w:rFonts w:hint="eastAsia" w:ascii="仿宋" w:hAnsi="仿宋" w:eastAsia="仿宋" w:cs="仿宋"/>
                <w:sz w:val="28"/>
                <w:szCs w:val="28"/>
              </w:rPr>
              <w:t>贡献等重大议题，搭建起中西互鉴、理性沟通的中国人权叙事框架。</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55" w:hRule="exact"/>
        </w:trPr>
        <w:tc>
          <w:tcPr>
            <w:tcW w:w="1450"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此系列报道共刊发</w:t>
            </w:r>
            <w:r>
              <w:rPr>
                <w:rFonts w:hint="eastAsia" w:ascii="仿宋" w:hAnsi="仿宋" w:eastAsia="仿宋" w:cs="仿宋"/>
                <w:sz w:val="28"/>
                <w:szCs w:val="28"/>
                <w:lang w:val="en-US" w:eastAsia="zh-CN"/>
              </w:rPr>
              <w:t>6</w:t>
            </w:r>
            <w:r>
              <w:rPr>
                <w:rFonts w:hint="eastAsia" w:ascii="仿宋" w:hAnsi="仿宋" w:eastAsia="仿宋" w:cs="仿宋"/>
                <w:sz w:val="28"/>
                <w:szCs w:val="28"/>
              </w:rPr>
              <w:t>篇，刊发平台包括中新社文字电讯通稿、</w:t>
            </w:r>
            <w:r>
              <w:rPr>
                <w:rFonts w:hint="eastAsia" w:ascii="仿宋" w:hAnsi="仿宋" w:eastAsia="仿宋" w:cs="仿宋"/>
                <w:sz w:val="28"/>
                <w:szCs w:val="28"/>
                <w:lang w:val="en-US" w:eastAsia="zh-CN"/>
              </w:rPr>
              <w:t>中国新闻网</w:t>
            </w:r>
            <w:r>
              <w:rPr>
                <w:rFonts w:hint="eastAsia" w:ascii="仿宋" w:hAnsi="仿宋" w:eastAsia="仿宋" w:cs="仿宋"/>
                <w:sz w:val="28"/>
                <w:szCs w:val="28"/>
              </w:rPr>
              <w:t>网站及</w:t>
            </w:r>
            <w:r>
              <w:rPr>
                <w:rFonts w:hint="eastAsia" w:ascii="仿宋" w:hAnsi="仿宋" w:eastAsia="仿宋" w:cs="仿宋"/>
                <w:sz w:val="28"/>
                <w:szCs w:val="28"/>
                <w:lang w:val="en-US" w:eastAsia="zh-CN"/>
              </w:rPr>
              <w:t>中新社</w:t>
            </w:r>
            <w:r>
              <w:rPr>
                <w:rFonts w:hint="eastAsia" w:ascii="仿宋" w:hAnsi="仿宋" w:eastAsia="仿宋" w:cs="仿宋"/>
                <w:sz w:val="28"/>
                <w:szCs w:val="28"/>
              </w:rPr>
              <w:t>社交新媒体平台。电讯通稿获得美</w:t>
            </w:r>
            <w:r>
              <w:rPr>
                <w:rFonts w:hint="eastAsia" w:ascii="仿宋" w:hAnsi="仿宋" w:eastAsia="仿宋" w:cs="仿宋"/>
                <w:sz w:val="28"/>
                <w:szCs w:val="28"/>
                <w:lang w:val="en-US" w:eastAsia="zh-CN"/>
              </w:rPr>
              <w:t>国</w:t>
            </w:r>
            <w:r>
              <w:rPr>
                <w:rFonts w:hint="eastAsia" w:ascii="仿宋" w:hAnsi="仿宋" w:eastAsia="仿宋" w:cs="仿宋"/>
                <w:sz w:val="28"/>
                <w:szCs w:val="28"/>
              </w:rPr>
              <w:t>、法</w:t>
            </w:r>
            <w:r>
              <w:rPr>
                <w:rFonts w:hint="eastAsia" w:ascii="仿宋" w:hAnsi="仿宋" w:eastAsia="仿宋" w:cs="仿宋"/>
                <w:sz w:val="28"/>
                <w:szCs w:val="28"/>
                <w:lang w:val="en-US" w:eastAsia="zh-CN"/>
              </w:rPr>
              <w:t>国</w:t>
            </w:r>
            <w:r>
              <w:rPr>
                <w:rFonts w:hint="eastAsia" w:ascii="仿宋" w:hAnsi="仿宋" w:eastAsia="仿宋" w:cs="仿宋"/>
                <w:sz w:val="28"/>
                <w:szCs w:val="28"/>
              </w:rPr>
              <w:t>、希腊、瑞典、巴西、巴拿马、巴基斯坦、斐济、新西兰、南非等</w:t>
            </w:r>
            <w:r>
              <w:rPr>
                <w:rFonts w:hint="eastAsia" w:ascii="仿宋" w:hAnsi="仿宋" w:eastAsia="仿宋" w:cs="仿宋"/>
                <w:sz w:val="28"/>
                <w:szCs w:val="28"/>
                <w:lang w:val="en-US" w:eastAsia="zh-CN"/>
              </w:rPr>
              <w:t>国家近20</w:t>
            </w:r>
            <w:r>
              <w:rPr>
                <w:rFonts w:hint="eastAsia" w:ascii="仿宋" w:hAnsi="仿宋" w:eastAsia="仿宋" w:cs="仿宋"/>
                <w:sz w:val="28"/>
                <w:szCs w:val="28"/>
              </w:rPr>
              <w:t>家海外华媒报纸刊发。在新媒体端，中新社</w:t>
            </w:r>
            <w:r>
              <w:rPr>
                <w:rFonts w:hint="eastAsia" w:ascii="仿宋" w:hAnsi="仿宋" w:eastAsia="仿宋" w:cs="仿宋"/>
                <w:sz w:val="28"/>
                <w:szCs w:val="28"/>
                <w:lang w:val="en-US" w:eastAsia="zh-CN"/>
              </w:rPr>
              <w:t>自有</w:t>
            </w:r>
            <w:r>
              <w:rPr>
                <w:rFonts w:hint="eastAsia" w:ascii="仿宋" w:hAnsi="仿宋" w:eastAsia="仿宋" w:cs="仿宋"/>
                <w:sz w:val="28"/>
                <w:szCs w:val="28"/>
              </w:rPr>
              <w:t>平台阅读</w:t>
            </w:r>
            <w:r>
              <w:rPr>
                <w:rFonts w:hint="eastAsia" w:ascii="仿宋" w:hAnsi="仿宋" w:eastAsia="仿宋" w:cs="仿宋"/>
                <w:sz w:val="28"/>
                <w:szCs w:val="28"/>
                <w:lang w:val="en-US" w:eastAsia="zh-CN"/>
              </w:rPr>
              <w:t>量</w:t>
            </w:r>
            <w:r>
              <w:rPr>
                <w:rFonts w:hint="eastAsia" w:ascii="仿宋" w:hAnsi="仿宋" w:eastAsia="仿宋" w:cs="仿宋"/>
                <w:sz w:val="28"/>
                <w:szCs w:val="28"/>
              </w:rPr>
              <w:t>约1800万</w:t>
            </w:r>
            <w:r>
              <w:rPr>
                <w:rFonts w:hint="eastAsia" w:ascii="仿宋" w:hAnsi="仿宋" w:eastAsia="仿宋" w:cs="仿宋"/>
                <w:sz w:val="28"/>
                <w:szCs w:val="28"/>
                <w:lang w:eastAsia="zh-CN"/>
              </w:rPr>
              <w:t>，</w:t>
            </w:r>
            <w:r>
              <w:rPr>
                <w:rFonts w:hint="eastAsia" w:ascii="仿宋" w:hAnsi="仿宋" w:eastAsia="仿宋" w:cs="仿宋"/>
                <w:sz w:val="28"/>
                <w:szCs w:val="28"/>
              </w:rPr>
              <w:t>相关报道还被国内数十家网站重点转载。</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此系列报道抓住关键话语、结合热点话题，学理性和可读性兼具，不仅取得了极佳的新闻传播效果，也得到了学界的高度认可，中国人权研究会专门在</w:t>
            </w:r>
            <w:r>
              <w:rPr>
                <w:rFonts w:hint="eastAsia" w:ascii="仿宋" w:hAnsi="仿宋" w:eastAsia="仿宋" w:cs="仿宋"/>
                <w:sz w:val="28"/>
                <w:szCs w:val="28"/>
                <w:lang w:val="en-US" w:eastAsia="zh-CN"/>
              </w:rPr>
              <w:t>微信公众号</w:t>
            </w:r>
            <w:r>
              <w:rPr>
                <w:rFonts w:hint="eastAsia" w:ascii="仿宋" w:hAnsi="仿宋" w:eastAsia="仿宋" w:cs="仿宋"/>
                <w:sz w:val="28"/>
                <w:szCs w:val="28"/>
              </w:rPr>
              <w:t>上进行了专题刊发，受访外国专家学者也积极肯定相关报道，并在个人社交平台进行推送，在国际学界产生积极影响。在此系列稿件策划基础上，中新社还举办了“中国人权发展道路”国际研讨会，搭建起中西人权理性交流对话的国际平台，扩大了中国人权话语的国际影响。</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788" w:hRule="exact"/>
        </w:trPr>
        <w:tc>
          <w:tcPr>
            <w:tcW w:w="1450" w:type="dxa"/>
            <w:tcBorders>
              <w:bottom w:val="single" w:color="auto" w:sz="4" w:space="0"/>
            </w:tcBorders>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如何讲好中国人权故事，说清中国人权成就、理念是重大国际传播课题。中国新闻社</w:t>
            </w:r>
            <w:r>
              <w:rPr>
                <w:rFonts w:hint="eastAsia" w:ascii="仿宋" w:hAnsi="仿宋" w:eastAsia="仿宋" w:cs="仿宋"/>
                <w:sz w:val="28"/>
                <w:szCs w:val="28"/>
                <w:lang w:eastAsia="zh-CN"/>
              </w:rPr>
              <w:t>“</w:t>
            </w:r>
            <w:r>
              <w:rPr>
                <w:rFonts w:hint="eastAsia" w:ascii="仿宋" w:hAnsi="仿宋" w:eastAsia="仿宋" w:cs="仿宋"/>
                <w:sz w:val="28"/>
                <w:szCs w:val="28"/>
              </w:rPr>
              <w:t>人权观·中国叙事</w:t>
            </w:r>
            <w:r>
              <w:rPr>
                <w:rFonts w:hint="eastAsia" w:ascii="仿宋" w:hAnsi="仿宋" w:eastAsia="仿宋" w:cs="仿宋"/>
                <w:sz w:val="28"/>
                <w:szCs w:val="28"/>
                <w:lang w:eastAsia="zh-CN"/>
              </w:rPr>
              <w:t>”</w:t>
            </w:r>
            <w:r>
              <w:rPr>
                <w:rFonts w:hint="eastAsia" w:ascii="仿宋" w:hAnsi="仿宋" w:eastAsia="仿宋" w:cs="仿宋"/>
                <w:sz w:val="28"/>
                <w:szCs w:val="28"/>
              </w:rPr>
              <w:t>系列报道，从新闻角度切入，通过学理叙事，理性辨析、史论结合、中西对比、今昔对接，正面建构人权观的中国叙事，再以极富“当代性”和“全球性”的观察视角，进一步阐述中国人权理念的当代意义，以世界维度的观照达至有效讲述中国人权故事的目标。</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该系列作品通过极具分量的核心议题设置，向世界展示了中国人权理念，辨析了中西人权观的共识与分歧，以新视角增加国际社会对中国人权理念的了解和认知。以学者客观、平实的视角回应国际社会对中国的关注与疑问，起到了明辨事实，论清义理，廓清</w:t>
            </w:r>
            <w:r>
              <w:rPr>
                <w:rFonts w:hint="eastAsia" w:ascii="仿宋" w:hAnsi="仿宋" w:eastAsia="仿宋" w:cs="仿宋"/>
                <w:sz w:val="28"/>
                <w:szCs w:val="28"/>
                <w:lang w:val="en-US" w:eastAsia="zh-CN"/>
              </w:rPr>
              <w:t>迷雾</w:t>
            </w:r>
            <w:r>
              <w:rPr>
                <w:rFonts w:hint="eastAsia" w:ascii="仿宋" w:hAnsi="仿宋" w:eastAsia="仿宋" w:cs="仿宋"/>
                <w:sz w:val="28"/>
                <w:szCs w:val="28"/>
              </w:rPr>
              <w:t>的作用。</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更加难得的是，该系列作品专访到多位国内外具有影响力的中国人权研究学者专家，提升了中国人权叙事和议题在国际舆论场的声量。该系列作品在人权主题报道中勇于创新，是具有高水准的专业新闻策划，并且取得了良好的社会效果，是难得的高质量高效能新闻作品。同意推荐。</w:t>
            </w:r>
          </w:p>
          <w:p>
            <w:pPr>
              <w:spacing w:line="360" w:lineRule="exact"/>
              <w:rPr>
                <w:rFonts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rPr>
                <w:rFonts w:hint="eastAsia"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rPr>
                <w:rFonts w:hint="eastAsia" w:ascii="华文中宋" w:hAnsi="华文中宋" w:eastAsia="华文中宋"/>
                <w:color w:val="000000"/>
                <w:spacing w:val="-2"/>
                <w:sz w:val="28"/>
              </w:rPr>
            </w:pPr>
          </w:p>
          <w:p>
            <w:pPr>
              <w:spacing w:line="360" w:lineRule="exact"/>
              <w:ind w:firstLine="4140" w:firstLineChars="15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rPr>
                <w:rFonts w:ascii="仿宋" w:hAnsi="仿宋" w:eastAsia="仿宋"/>
                <w:color w:val="000000"/>
                <w:szCs w:val="21"/>
              </w:rPr>
            </w:pPr>
            <w:r>
              <w:rPr>
                <w:rFonts w:hint="eastAsia" w:ascii="仿宋_GB2312"/>
                <w:color w:val="000000"/>
                <w:sz w:val="28"/>
              </w:rPr>
              <w:t xml:space="preserve">                                 </w:t>
            </w:r>
            <w:r>
              <w:rPr>
                <w:rFonts w:ascii="华文中宋" w:hAnsi="华文中宋" w:eastAsia="华文中宋"/>
                <w:color w:val="000000"/>
                <w:sz w:val="28"/>
              </w:rPr>
              <w:t>20</w:t>
            </w:r>
            <w:r>
              <w:rPr>
                <w:rFonts w:hint="eastAsia" w:ascii="华文中宋" w:hAnsi="华文中宋" w:eastAsia="华文中宋"/>
                <w:color w:val="000000"/>
                <w:sz w:val="28"/>
              </w:rPr>
              <w:t>23</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bl>
    <w:p>
      <w:pPr>
        <w:rPr>
          <w:rFonts w:ascii="黑体" w:hAnsi="黑体" w:eastAsia="黑体" w:cs="黑体"/>
          <w:bCs/>
          <w:color w:val="000000"/>
          <w:szCs w:val="32"/>
        </w:rPr>
      </w:pPr>
      <w:r>
        <w:rPr>
          <w:rFonts w:hint="eastAsia" w:ascii="黑体" w:hAnsi="黑体" w:eastAsia="黑体" w:cs="黑体"/>
          <w:bCs/>
          <w:color w:val="000000"/>
          <w:szCs w:val="32"/>
        </w:rPr>
        <w:t>附件5</w:t>
      </w:r>
    </w:p>
    <w:p>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中国新闻奖系列报道作品完整目录</w:t>
      </w:r>
    </w:p>
    <w:tbl>
      <w:tblPr>
        <w:tblStyle w:val="4"/>
        <w:tblW w:w="9713" w:type="dxa"/>
        <w:tblInd w:w="-297" w:type="dxa"/>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942"/>
        <w:gridCol w:w="2602"/>
        <w:gridCol w:w="849"/>
        <w:gridCol w:w="843"/>
        <w:gridCol w:w="1584"/>
        <w:gridCol w:w="966"/>
        <w:gridCol w:w="1096"/>
      </w:tblGrid>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PrEx>
        <w:trPr>
          <w:trHeight w:val="680" w:hRule="exact"/>
        </w:trPr>
        <w:tc>
          <w:tcPr>
            <w:tcW w:w="1773" w:type="dxa"/>
            <w:gridSpan w:val="2"/>
            <w:tcBorders>
              <w:bottom w:val="single" w:color="auto" w:sz="4" w:space="0"/>
            </w:tcBorders>
            <w:vAlign w:val="center"/>
          </w:tcPr>
          <w:p>
            <w:pPr>
              <w:snapToGrid w:val="0"/>
              <w:rPr>
                <w:rFonts w:ascii="华文中宋" w:hAnsi="华文中宋" w:eastAsia="华文中宋"/>
                <w:color w:val="000000"/>
                <w:sz w:val="28"/>
                <w:szCs w:val="28"/>
              </w:rPr>
            </w:pPr>
            <w:r>
              <w:rPr>
                <w:rFonts w:hint="eastAsia" w:ascii="华文中宋" w:hAnsi="华文中宋" w:eastAsia="华文中宋"/>
                <w:color w:val="000000"/>
                <w:sz w:val="28"/>
                <w:szCs w:val="28"/>
              </w:rPr>
              <w:t>作品标题</w:t>
            </w:r>
          </w:p>
        </w:tc>
        <w:tc>
          <w:tcPr>
            <w:tcW w:w="7940" w:type="dxa"/>
            <w:gridSpan w:val="6"/>
            <w:tcBorders>
              <w:bottom w:val="single" w:color="auto" w:sz="4" w:space="0"/>
            </w:tcBorders>
            <w:vAlign w:val="center"/>
          </w:tcPr>
          <w:p>
            <w:pPr>
              <w:snapToGrid w:val="0"/>
              <w:ind w:firstLine="560"/>
              <w:jc w:val="center"/>
              <w:rPr>
                <w:rFonts w:ascii="华文中宋" w:hAnsi="华文中宋" w:eastAsia="华文中宋"/>
                <w:color w:val="000000"/>
                <w:sz w:val="28"/>
                <w:szCs w:val="28"/>
              </w:rPr>
            </w:pPr>
            <w:r>
              <w:rPr>
                <w:rFonts w:hint="eastAsia" w:ascii="华文中宋" w:hAnsi="华文中宋" w:eastAsia="华文中宋"/>
                <w:color w:val="000000"/>
                <w:sz w:val="28"/>
              </w:rPr>
              <w:t xml:space="preserve">人权观·中国叙事系列报道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831"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序号</w:t>
            </w:r>
          </w:p>
        </w:tc>
        <w:tc>
          <w:tcPr>
            <w:tcW w:w="3544"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单篇作品标题</w:t>
            </w:r>
          </w:p>
        </w:tc>
        <w:tc>
          <w:tcPr>
            <w:tcW w:w="849"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体裁</w:t>
            </w:r>
          </w:p>
        </w:tc>
        <w:tc>
          <w:tcPr>
            <w:tcW w:w="843"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字数/时长</w:t>
            </w:r>
          </w:p>
        </w:tc>
        <w:tc>
          <w:tcPr>
            <w:tcW w:w="1584"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刊播日期</w:t>
            </w:r>
          </w:p>
        </w:tc>
        <w:tc>
          <w:tcPr>
            <w:tcW w:w="966"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刊播版面</w:t>
            </w: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4" w:hRule="exact"/>
        </w:trPr>
        <w:tc>
          <w:tcPr>
            <w:tcW w:w="831" w:type="dxa"/>
            <w:tcBorders>
              <w:bottom w:val="single" w:color="auto" w:sz="4" w:space="0"/>
            </w:tcBorders>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1</w:t>
            </w:r>
          </w:p>
        </w:tc>
        <w:tc>
          <w:tcPr>
            <w:tcW w:w="3544" w:type="dxa"/>
            <w:gridSpan w:val="2"/>
            <w:tcBorders>
              <w:bottom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《胜雅律：如何增进中西方</w:t>
            </w:r>
          </w:p>
          <w:p>
            <w:pPr>
              <w:snapToGrid w:val="0"/>
              <w:jc w:val="both"/>
              <w:rPr>
                <w:rFonts w:ascii="宋体" w:hAnsi="宋体"/>
                <w:color w:val="000000"/>
                <w:sz w:val="28"/>
                <w:szCs w:val="28"/>
              </w:rPr>
            </w:pPr>
            <w:r>
              <w:rPr>
                <w:rFonts w:hint="eastAsia" w:ascii="宋体" w:hAnsi="宋体"/>
                <w:color w:val="000000"/>
                <w:sz w:val="28"/>
                <w:szCs w:val="28"/>
              </w:rPr>
              <w:t>人权观沟通交流？》</w:t>
            </w:r>
          </w:p>
        </w:tc>
        <w:tc>
          <w:tcPr>
            <w:tcW w:w="849" w:type="dxa"/>
            <w:tcBorders>
              <w:bottom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tcBorders>
              <w:bottom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lang w:val="en-US" w:eastAsia="zh-CN"/>
              </w:rPr>
              <w:t>1493</w:t>
            </w:r>
          </w:p>
        </w:tc>
        <w:tc>
          <w:tcPr>
            <w:tcW w:w="1584" w:type="dxa"/>
            <w:tcBorders>
              <w:bottom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2022．05．20</w:t>
            </w:r>
          </w:p>
        </w:tc>
        <w:tc>
          <w:tcPr>
            <w:tcW w:w="966" w:type="dxa"/>
            <w:tcBorders>
              <w:bottom w:val="single" w:color="auto" w:sz="4" w:space="0"/>
            </w:tcBorders>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tcBorders>
              <w:bottom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02" w:hRule="exact"/>
        </w:trPr>
        <w:tc>
          <w:tcPr>
            <w:tcW w:w="83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2</w:t>
            </w:r>
          </w:p>
        </w:tc>
        <w:tc>
          <w:tcPr>
            <w:tcW w:w="354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《鲁广锦：中国“基于发展的人权路径”有何不同？》</w:t>
            </w:r>
          </w:p>
        </w:tc>
        <w:tc>
          <w:tcPr>
            <w:tcW w:w="84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2310</w:t>
            </w:r>
          </w:p>
        </w:tc>
        <w:tc>
          <w:tcPr>
            <w:tcW w:w="15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2022．05．21</w:t>
            </w:r>
          </w:p>
        </w:tc>
        <w:tc>
          <w:tcPr>
            <w:tcW w:w="966"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7" w:hRule="exact"/>
        </w:trPr>
        <w:tc>
          <w:tcPr>
            <w:tcW w:w="831" w:type="dxa"/>
            <w:tcBorders>
              <w:top w:val="single" w:color="auto" w:sz="4" w:space="0"/>
            </w:tcBorders>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3</w:t>
            </w:r>
          </w:p>
        </w:tc>
        <w:tc>
          <w:tcPr>
            <w:tcW w:w="3544" w:type="dxa"/>
            <w:gridSpan w:val="2"/>
            <w:tcBorders>
              <w:top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《王文：为何说西方欠中国人权一次真切的道歉？》</w:t>
            </w:r>
          </w:p>
        </w:tc>
        <w:tc>
          <w:tcPr>
            <w:tcW w:w="849" w:type="dxa"/>
            <w:tcBorders>
              <w:top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tcBorders>
              <w:top w:val="single" w:color="auto" w:sz="4" w:space="0"/>
            </w:tcBorders>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2653</w:t>
            </w:r>
          </w:p>
        </w:tc>
        <w:tc>
          <w:tcPr>
            <w:tcW w:w="1584" w:type="dxa"/>
            <w:tcBorders>
              <w:top w:val="single" w:color="auto" w:sz="4" w:space="0"/>
            </w:tcBorders>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2022．05．22</w:t>
            </w:r>
          </w:p>
        </w:tc>
        <w:tc>
          <w:tcPr>
            <w:tcW w:w="966" w:type="dxa"/>
            <w:tcBorders>
              <w:top w:val="single" w:color="auto" w:sz="4" w:space="0"/>
            </w:tcBorders>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tcBorders>
              <w:top w:val="single" w:color="auto" w:sz="4" w:space="0"/>
            </w:tcBorders>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5"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4</w:t>
            </w:r>
          </w:p>
        </w:tc>
        <w:tc>
          <w:tcPr>
            <w:tcW w:w="3544" w:type="dxa"/>
            <w:gridSpan w:val="2"/>
            <w:vAlign w:val="center"/>
          </w:tcPr>
          <w:p>
            <w:pPr>
              <w:snapToGrid w:val="0"/>
              <w:jc w:val="center"/>
              <w:rPr>
                <w:rFonts w:ascii="宋体" w:hAnsi="宋体"/>
                <w:color w:val="000000"/>
                <w:sz w:val="28"/>
                <w:szCs w:val="28"/>
              </w:rPr>
            </w:pPr>
            <w:r>
              <w:rPr>
                <w:rFonts w:hint="eastAsia" w:ascii="宋体" w:hAnsi="宋体"/>
                <w:color w:val="000000"/>
                <w:sz w:val="28"/>
                <w:szCs w:val="28"/>
              </w:rPr>
              <w:t>《罗思义：为何应区分“人权”的真问题与假概念？》</w:t>
            </w:r>
          </w:p>
        </w:tc>
        <w:tc>
          <w:tcPr>
            <w:tcW w:w="849" w:type="dxa"/>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2823</w:t>
            </w:r>
          </w:p>
        </w:tc>
        <w:tc>
          <w:tcPr>
            <w:tcW w:w="1584" w:type="dxa"/>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2022．05．23</w:t>
            </w:r>
          </w:p>
        </w:tc>
        <w:tc>
          <w:tcPr>
            <w:tcW w:w="966" w:type="dxa"/>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vAlign w:val="center"/>
          </w:tcPr>
          <w:p>
            <w:pPr>
              <w:snapToGrid w:val="0"/>
              <w:jc w:val="center"/>
              <w:rPr>
                <w:rFonts w:ascii="宋体" w:hAnsi="宋体"/>
                <w:color w:val="000000"/>
                <w:sz w:val="28"/>
                <w:szCs w:val="28"/>
              </w:rPr>
            </w:pPr>
            <w:r>
              <w:rPr>
                <w:rFonts w:hint="eastAsia" w:ascii="宋体" w:hAnsi="宋体"/>
                <w:color w:val="000000"/>
                <w:sz w:val="28"/>
                <w:szCs w:val="28"/>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3"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5</w:t>
            </w:r>
          </w:p>
        </w:tc>
        <w:tc>
          <w:tcPr>
            <w:tcW w:w="3544" w:type="dxa"/>
            <w:gridSpan w:val="2"/>
            <w:vAlign w:val="center"/>
          </w:tcPr>
          <w:p>
            <w:pPr>
              <w:snapToGrid w:val="0"/>
              <w:jc w:val="center"/>
              <w:rPr>
                <w:rFonts w:hint="eastAsia" w:ascii="宋体" w:hAnsi="宋体"/>
                <w:color w:val="000000"/>
                <w:sz w:val="28"/>
                <w:szCs w:val="28"/>
              </w:rPr>
            </w:pPr>
            <w:r>
              <w:rPr>
                <w:rFonts w:hint="eastAsia" w:ascii="宋体" w:hAnsi="宋体"/>
                <w:color w:val="000000"/>
                <w:sz w:val="28"/>
                <w:szCs w:val="28"/>
              </w:rPr>
              <w:t>《张永和：人权是一个开放</w:t>
            </w:r>
          </w:p>
          <w:p>
            <w:pPr>
              <w:snapToGrid w:val="0"/>
              <w:jc w:val="both"/>
              <w:rPr>
                <w:rFonts w:ascii="宋体" w:hAnsi="宋体"/>
                <w:color w:val="000000"/>
                <w:sz w:val="28"/>
                <w:szCs w:val="28"/>
              </w:rPr>
            </w:pPr>
            <w:r>
              <w:rPr>
                <w:rFonts w:hint="eastAsia" w:ascii="宋体" w:hAnsi="宋体"/>
                <w:color w:val="000000"/>
                <w:sz w:val="28"/>
                <w:szCs w:val="28"/>
              </w:rPr>
              <w:t>的概念》</w:t>
            </w:r>
          </w:p>
        </w:tc>
        <w:tc>
          <w:tcPr>
            <w:tcW w:w="849" w:type="dxa"/>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1973</w:t>
            </w:r>
          </w:p>
        </w:tc>
        <w:tc>
          <w:tcPr>
            <w:tcW w:w="1584" w:type="dxa"/>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2022．05．24</w:t>
            </w:r>
          </w:p>
        </w:tc>
        <w:tc>
          <w:tcPr>
            <w:tcW w:w="966" w:type="dxa"/>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vAlign w:val="center"/>
          </w:tcPr>
          <w:p>
            <w:pPr>
              <w:snapToGrid w:val="0"/>
              <w:jc w:val="center"/>
              <w:rPr>
                <w:rFonts w:ascii="宋体" w:hAnsi="宋体"/>
                <w:color w:val="000000"/>
                <w:sz w:val="28"/>
                <w:szCs w:val="28"/>
              </w:rPr>
            </w:pPr>
            <w:r>
              <w:rPr>
                <w:rFonts w:hint="eastAsia" w:ascii="宋体" w:hAnsi="宋体"/>
                <w:color w:val="000000"/>
                <w:sz w:val="28"/>
                <w:szCs w:val="28"/>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1"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6</w:t>
            </w:r>
          </w:p>
        </w:tc>
        <w:tc>
          <w:tcPr>
            <w:tcW w:w="3544" w:type="dxa"/>
            <w:gridSpan w:val="2"/>
            <w:vAlign w:val="center"/>
          </w:tcPr>
          <w:p>
            <w:pPr>
              <w:snapToGrid w:val="0"/>
              <w:jc w:val="center"/>
              <w:rPr>
                <w:rFonts w:hint="eastAsia" w:ascii="宋体" w:hAnsi="宋体"/>
                <w:color w:val="000000"/>
                <w:sz w:val="28"/>
                <w:szCs w:val="28"/>
              </w:rPr>
            </w:pPr>
            <w:r>
              <w:rPr>
                <w:rFonts w:hint="eastAsia" w:ascii="宋体" w:hAnsi="宋体"/>
                <w:color w:val="000000"/>
                <w:sz w:val="28"/>
                <w:szCs w:val="28"/>
              </w:rPr>
              <w:t>《什么是习近平眼中“最大</w:t>
            </w:r>
          </w:p>
          <w:p>
            <w:pPr>
              <w:snapToGrid w:val="0"/>
              <w:jc w:val="both"/>
              <w:rPr>
                <w:rFonts w:ascii="宋体" w:hAnsi="宋体"/>
                <w:color w:val="000000"/>
                <w:sz w:val="28"/>
                <w:szCs w:val="28"/>
              </w:rPr>
            </w:pPr>
            <w:r>
              <w:rPr>
                <w:rFonts w:hint="eastAsia" w:ascii="宋体" w:hAnsi="宋体"/>
                <w:color w:val="000000"/>
                <w:sz w:val="28"/>
                <w:szCs w:val="28"/>
              </w:rPr>
              <w:t>的人权”？》</w:t>
            </w:r>
          </w:p>
        </w:tc>
        <w:tc>
          <w:tcPr>
            <w:tcW w:w="849" w:type="dxa"/>
            <w:vAlign w:val="center"/>
          </w:tcPr>
          <w:p>
            <w:pPr>
              <w:snapToGrid w:val="0"/>
              <w:jc w:val="center"/>
              <w:rPr>
                <w:rFonts w:ascii="宋体" w:hAnsi="宋体"/>
                <w:color w:val="000000"/>
                <w:sz w:val="28"/>
                <w:szCs w:val="28"/>
              </w:rPr>
            </w:pPr>
            <w:r>
              <w:rPr>
                <w:rFonts w:hint="eastAsia" w:ascii="宋体" w:hAnsi="宋体"/>
                <w:color w:val="000000"/>
                <w:sz w:val="28"/>
                <w:szCs w:val="28"/>
              </w:rPr>
              <w:t>评论</w:t>
            </w:r>
          </w:p>
        </w:tc>
        <w:tc>
          <w:tcPr>
            <w:tcW w:w="843" w:type="dxa"/>
            <w:vAlign w:val="center"/>
          </w:tcPr>
          <w:p>
            <w:pPr>
              <w:snapToGrid w:val="0"/>
              <w:jc w:val="center"/>
              <w:rPr>
                <w:rFonts w:hint="default" w:ascii="宋体" w:hAnsi="宋体"/>
                <w:color w:val="000000"/>
                <w:sz w:val="28"/>
                <w:szCs w:val="28"/>
                <w:lang w:val="en-US" w:eastAsia="zh-CN"/>
              </w:rPr>
            </w:pPr>
            <w:r>
              <w:rPr>
                <w:rFonts w:hint="eastAsia" w:ascii="宋体" w:hAnsi="宋体"/>
                <w:color w:val="000000"/>
                <w:sz w:val="28"/>
                <w:szCs w:val="28"/>
                <w:lang w:val="en-US" w:eastAsia="zh-CN"/>
              </w:rPr>
              <w:t>1379</w:t>
            </w:r>
          </w:p>
        </w:tc>
        <w:tc>
          <w:tcPr>
            <w:tcW w:w="1584" w:type="dxa"/>
            <w:vAlign w:val="center"/>
          </w:tcPr>
          <w:p>
            <w:pPr>
              <w:snapToGrid w:val="0"/>
              <w:jc w:val="center"/>
              <w:rPr>
                <w:rFonts w:hint="eastAsia" w:ascii="宋体" w:hAnsi="宋体"/>
                <w:color w:val="000000"/>
                <w:sz w:val="28"/>
                <w:szCs w:val="28"/>
              </w:rPr>
            </w:pPr>
            <w:r>
              <w:rPr>
                <w:rFonts w:hint="eastAsia" w:ascii="宋体" w:hAnsi="宋体"/>
                <w:color w:val="000000"/>
                <w:sz w:val="28"/>
                <w:szCs w:val="28"/>
              </w:rPr>
              <w:t>2022．05．26</w:t>
            </w:r>
          </w:p>
        </w:tc>
        <w:tc>
          <w:tcPr>
            <w:tcW w:w="966" w:type="dxa"/>
            <w:vAlign w:val="center"/>
          </w:tcPr>
          <w:p>
            <w:pPr>
              <w:snapToGrid w:val="0"/>
              <w:rPr>
                <w:rFonts w:hint="eastAsia" w:ascii="宋体" w:hAnsi="宋体"/>
                <w:color w:val="000000"/>
                <w:sz w:val="28"/>
                <w:szCs w:val="28"/>
              </w:rPr>
            </w:pPr>
            <w:r>
              <w:rPr>
                <w:rFonts w:hint="eastAsia" w:ascii="宋体" w:hAnsi="宋体"/>
                <w:color w:val="000000"/>
                <w:sz w:val="28"/>
                <w:szCs w:val="28"/>
              </w:rPr>
              <w:t>电讯</w:t>
            </w:r>
          </w:p>
          <w:p>
            <w:pPr>
              <w:snapToGrid w:val="0"/>
              <w:rPr>
                <w:rFonts w:ascii="宋体" w:hAnsi="宋体"/>
                <w:color w:val="000000"/>
                <w:sz w:val="28"/>
                <w:szCs w:val="28"/>
              </w:rPr>
            </w:pPr>
            <w:r>
              <w:rPr>
                <w:rFonts w:hint="eastAsia" w:ascii="宋体" w:hAnsi="宋体"/>
                <w:color w:val="000000"/>
                <w:sz w:val="28"/>
                <w:szCs w:val="28"/>
              </w:rPr>
              <w:t>通稿</w:t>
            </w: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6"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7</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8" w:hRule="exact"/>
        </w:trPr>
        <w:tc>
          <w:tcPr>
            <w:tcW w:w="831" w:type="dxa"/>
            <w:vAlign w:val="center"/>
          </w:tcPr>
          <w:p>
            <w:pPr>
              <w:snapToGrid w:val="0"/>
              <w:jc w:val="center"/>
              <w:rPr>
                <w:rFonts w:hint="eastAsia" w:ascii="宋体" w:hAnsi="宋体" w:eastAsia="仿宋_GB2312"/>
                <w:color w:val="000000"/>
                <w:sz w:val="28"/>
                <w:szCs w:val="28"/>
                <w:lang w:val="en-US" w:eastAsia="zh-CN"/>
              </w:rPr>
            </w:pPr>
            <w:r>
              <w:rPr>
                <w:rFonts w:hint="eastAsia" w:ascii="宋体" w:hAnsi="宋体"/>
                <w:color w:val="000000"/>
                <w:sz w:val="28"/>
                <w:szCs w:val="28"/>
                <w:lang w:val="en-US" w:eastAsia="zh-CN"/>
              </w:rPr>
              <w:t>8</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hint="default" w:ascii="宋体" w:hAnsi="宋体" w:eastAsia="仿宋_GB2312"/>
                <w:color w:val="000000"/>
                <w:sz w:val="28"/>
                <w:szCs w:val="28"/>
                <w:lang w:val="en-US" w:eastAsia="zh-CN"/>
              </w:rPr>
            </w:pPr>
            <w:r>
              <w:rPr>
                <w:rFonts w:hint="eastAsia" w:ascii="宋体" w:hAnsi="宋体"/>
                <w:color w:val="000000"/>
                <w:sz w:val="28"/>
                <w:szCs w:val="28"/>
                <w:lang w:val="en-US" w:eastAsia="zh-CN"/>
              </w:rPr>
              <w:t>9</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jc w:val="center"/>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hint="default" w:ascii="宋体" w:hAnsi="宋体" w:eastAsia="仿宋_GB2312"/>
                <w:color w:val="000000"/>
                <w:sz w:val="28"/>
                <w:szCs w:val="28"/>
                <w:lang w:val="en-US" w:eastAsia="zh-CN"/>
              </w:rPr>
            </w:pPr>
            <w:r>
              <w:rPr>
                <w:rFonts w:hint="eastAsia" w:ascii="宋体" w:hAnsi="宋体"/>
                <w:color w:val="000000"/>
                <w:sz w:val="28"/>
                <w:szCs w:val="28"/>
                <w:lang w:val="en-US" w:eastAsia="zh-CN"/>
              </w:rPr>
              <w:t>10</w:t>
            </w:r>
          </w:p>
        </w:tc>
        <w:tc>
          <w:tcPr>
            <w:tcW w:w="3544" w:type="dxa"/>
            <w:gridSpan w:val="2"/>
            <w:vAlign w:val="center"/>
          </w:tcPr>
          <w:p>
            <w:pPr>
              <w:snapToGrid w:val="0"/>
              <w:jc w:val="center"/>
              <w:rPr>
                <w:rFonts w:ascii="宋体" w:hAnsi="宋体"/>
                <w:color w:val="000000"/>
                <w:sz w:val="28"/>
                <w:szCs w:val="28"/>
              </w:rPr>
            </w:pPr>
          </w:p>
        </w:tc>
        <w:tc>
          <w:tcPr>
            <w:tcW w:w="849" w:type="dxa"/>
            <w:vAlign w:val="center"/>
          </w:tcPr>
          <w:p>
            <w:pPr>
              <w:snapToGrid w:val="0"/>
              <w:jc w:val="center"/>
              <w:rPr>
                <w:rFonts w:ascii="宋体" w:hAnsi="宋体"/>
                <w:color w:val="000000"/>
                <w:sz w:val="28"/>
                <w:szCs w:val="28"/>
              </w:rPr>
            </w:pPr>
          </w:p>
        </w:tc>
        <w:tc>
          <w:tcPr>
            <w:tcW w:w="843" w:type="dxa"/>
            <w:vAlign w:val="center"/>
          </w:tcPr>
          <w:p>
            <w:pPr>
              <w:snapToGrid w:val="0"/>
              <w:jc w:val="center"/>
              <w:rPr>
                <w:rFonts w:ascii="宋体" w:hAnsi="宋体"/>
                <w:color w:val="000000"/>
                <w:sz w:val="28"/>
                <w:szCs w:val="28"/>
              </w:rPr>
            </w:pPr>
          </w:p>
        </w:tc>
        <w:tc>
          <w:tcPr>
            <w:tcW w:w="1584" w:type="dxa"/>
            <w:vAlign w:val="center"/>
          </w:tcPr>
          <w:p>
            <w:pPr>
              <w:snapToGrid w:val="0"/>
              <w:jc w:val="center"/>
              <w:rPr>
                <w:rFonts w:ascii="宋体" w:hAnsi="宋体"/>
                <w:color w:val="000000"/>
                <w:sz w:val="28"/>
                <w:szCs w:val="28"/>
              </w:rPr>
            </w:pPr>
          </w:p>
        </w:tc>
        <w:tc>
          <w:tcPr>
            <w:tcW w:w="966" w:type="dxa"/>
            <w:vAlign w:val="center"/>
          </w:tcPr>
          <w:p>
            <w:pPr>
              <w:snapToGrid w:val="0"/>
              <w:jc w:val="center"/>
              <w:rPr>
                <w:rFonts w:ascii="宋体" w:hAnsi="宋体"/>
                <w:color w:val="000000"/>
                <w:sz w:val="28"/>
                <w:szCs w:val="28"/>
              </w:rPr>
            </w:pPr>
          </w:p>
        </w:tc>
        <w:tc>
          <w:tcPr>
            <w:tcW w:w="1096" w:type="dxa"/>
            <w:vAlign w:val="center"/>
          </w:tcPr>
          <w:p>
            <w:pPr>
              <w:snapToGrid w:val="0"/>
              <w:jc w:val="center"/>
              <w:rPr>
                <w:rFonts w:ascii="宋体" w:hAnsi="宋体"/>
                <w:color w:val="000000"/>
                <w:sz w:val="28"/>
                <w:szCs w:val="28"/>
              </w:rPr>
            </w:pPr>
          </w:p>
        </w:tc>
      </w:tr>
    </w:tbl>
    <w:p>
      <w:pPr>
        <w:rPr>
          <w:rFonts w:hint="eastAsia"/>
          <w:b/>
          <w:szCs w:val="32"/>
        </w:rPr>
      </w:pPr>
    </w:p>
    <w:p>
      <w:pPr>
        <w:rPr>
          <w:rFonts w:hint="eastAsia"/>
          <w:b/>
          <w:szCs w:val="32"/>
        </w:rPr>
      </w:pPr>
    </w:p>
    <w:p>
      <w:pPr>
        <w:rPr>
          <w:b/>
          <w:szCs w:val="32"/>
        </w:rPr>
      </w:pPr>
      <w:r>
        <w:rPr>
          <w:rFonts w:hint="eastAsia"/>
          <w:b/>
          <w:szCs w:val="32"/>
        </w:rPr>
        <w:t>代表作1：</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胜雅律：如何增进中西方人权观沟通交流？</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rPr>
        <w:t>中新社布鲁塞尔5月20日电　题：如何增进中西方人权观沟通交流？</w:t>
      </w:r>
    </w:p>
    <w:p>
      <w:pPr>
        <w:keepNext w:val="0"/>
        <w:keepLines w:val="0"/>
        <w:pageBreakBefore w:val="0"/>
        <w:widowControl w:val="0"/>
        <w:kinsoku/>
        <w:wordWrap/>
        <w:overflowPunct/>
        <w:topLinePunct w:val="0"/>
        <w:autoSpaceDE/>
        <w:autoSpaceDN/>
        <w:bidi w:val="0"/>
        <w:adjustRightInd/>
        <w:snapToGrid/>
        <w:spacing w:line="360" w:lineRule="exact"/>
        <w:ind w:firstLine="600"/>
        <w:textAlignment w:val="auto"/>
        <w:rPr>
          <w:rFonts w:hint="eastAsia" w:ascii="仿宋" w:hAnsi="仿宋" w:eastAsia="仿宋" w:cs="仿宋"/>
          <w:sz w:val="28"/>
          <w:szCs w:val="28"/>
        </w:rPr>
      </w:pPr>
      <w:r>
        <w:rPr>
          <w:rFonts w:hint="eastAsia" w:ascii="仿宋" w:hAnsi="仿宋" w:eastAsia="仿宋" w:cs="仿宋"/>
          <w:sz w:val="28"/>
          <w:szCs w:val="28"/>
        </w:rPr>
        <w:t>作者 胜雅律（瑞士法学家，德国弗赖堡大学汉学专业终身教授）</w:t>
      </w:r>
    </w:p>
    <w:p>
      <w:pPr>
        <w:keepNext w:val="0"/>
        <w:keepLines w:val="0"/>
        <w:pageBreakBefore w:val="0"/>
        <w:widowControl w:val="0"/>
        <w:kinsoku/>
        <w:wordWrap/>
        <w:overflowPunct/>
        <w:topLinePunct w:val="0"/>
        <w:autoSpaceDE/>
        <w:autoSpaceDN/>
        <w:bidi w:val="0"/>
        <w:adjustRightInd/>
        <w:snapToGrid/>
        <w:spacing w:line="360" w:lineRule="exact"/>
        <w:ind w:firstLine="280" w:firstLineChars="100"/>
        <w:textAlignment w:val="auto"/>
        <w:rPr>
          <w:rFonts w:hint="eastAsia" w:ascii="仿宋" w:hAnsi="仿宋" w:eastAsia="仿宋" w:cs="仿宋"/>
          <w:sz w:val="28"/>
          <w:szCs w:val="28"/>
        </w:rPr>
      </w:pPr>
      <w:r>
        <w:rPr>
          <w:rFonts w:hint="eastAsia" w:ascii="仿宋" w:hAnsi="仿宋" w:eastAsia="仿宋" w:cs="仿宋"/>
          <w:sz w:val="28"/>
          <w:szCs w:val="28"/>
        </w:rPr>
        <w:t xml:space="preserve">  中国40多年来在人权领域的进步值得肯定。1978年中国改革开放前，人权被贴上“资产阶级阴谋”的标签并被拒绝承认。很长一段时间，中国只有北京大学和吉林大学保留了法律系，而北大法律系的规模全校排名倒数第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1978年后中国恢复了律师制度，1996年“无罪推定原则”被引入中国刑事诉讼法，2004年中国宪法第三十三条增加“国家尊重和保障人权”一款，现在法学院在中国遍地开花，情况发生了根本变化。</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两千多年前，中国已有哲人说“仓廪实而知礼节”，德国著名戏剧家、马克思主义者布莱希特也有句名言“先吃饱再讲道德”。中国信仰马克思主义，将重点放在经济发展和经济人权不意外。2001年3月，中国批准《经济、社会及文化权利国际公约》，很好说明了中国人权观的侧重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发展权和经济、社会、文化权利非常重要，仅围绕某些个人人权的人权观相当狭窄。例如，2021年3月瑞士发布《中国战略》文件，表示几十年来中国“亿万人民脱贫”，为“全球减贫作出重大贡献”，但文件仅仅把这些成就视为经济成就，避而不谈这些成就也是人权成就，即经济人权成就。</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瑞士《中国战略》文件又指，中国“一带一路”倡议是“面向全球的发展模式”，旨在加快中国西部贫困省份的发展，在第三国兴建交通、能源、通信等基础设施，加强亚洲与欧洲、非洲的互联互通。既然“一带一路”倡议着眼于推动中国和其他参与国家的经济发展，那么应该被视为旨在推动经济人权和发展权的“全球人权项目”。</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在瑞士，很多党派和政治家都强调解决难民问题的必要性，由于多数前往欧洲的难民是“经济移民”，在非洲和其他国家推动实现经济人权是有道理的。如果瑞士参与“一带一路”倡议以应对“经济移民”问题，那么这种参与符合瑞士联邦宪法，因为宪法规定“联邦应致力减轻世界的苦难和贫困，促进尊重人权”。请注意：瑞士联邦宪法先提到“联邦应致力减轻世界的苦难和贫困”，然后才提到“促进尊重人权”。可见前者即实现经济人权是首要关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中西方人权观的沟通交流，基于中西方在很多人权议题上的共识，且共识远大于分歧。例如，2006年至2009年，瑞士和中国同为联合国人权理事会成员。在此期间，联合国人权理事会通过286项决议，其中209项决议未经表决获一致通过，可见瑞士和中国对很多人权议题的看法类似。</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瑞中在人权议题上的共识是长期的。2018年，同为联合国人权理事会成员，两国都同意有关“恐怖主义与人权”“通过体育和奥林匹克理想促进人权”“人权与环境”“在所有国家实现经济、社会、文化权利”等决议，另有一项关于食物权的决议几乎获一致通过，只有美国投了反对票。这意味着在以上方面，当时瑞士和中国站在一起。</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今年2月28日至4月1日，联合国人权理事会第49届会议在日内瓦举行。会上相当多的决议也是未经表决获一致通过。</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但无论是瑞士媒体还是瑞士官员，讨论人权时只字不提瑞中在很多议题上看法类似，其他西方国家也是如此。在联合国人权理事会内部，西方国家经常投票支持有关经济人权和发展权的决议，可谓是“公开的秘密”，他们却不告诉自己的国民，致使西方普通民众根本不知道联合国人权理事会的具体动向。</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为增进中西方人权观的沟通交流，建议每届联合国人权理事会会议闭幕后，中国用英语、法语、德语等语种发布一份全面的会议报告，尤其要列出决议名称和西方国家的投票情况，让大家看看西方国家对很多决议的态度其实和中国一致。这是中国应该做的事，因为西方国家肯定不愿意做。</w:t>
      </w:r>
    </w:p>
    <w:p>
      <w:pPr>
        <w:keepNext w:val="0"/>
        <w:keepLines w:val="0"/>
        <w:pageBreakBefore w:val="0"/>
        <w:widowControl w:val="0"/>
        <w:kinsoku/>
        <w:wordWrap/>
        <w:overflowPunct/>
        <w:topLinePunct w:val="0"/>
        <w:autoSpaceDE/>
        <w:autoSpaceDN/>
        <w:bidi w:val="0"/>
        <w:adjustRightInd/>
        <w:snapToGrid/>
        <w:spacing w:line="360" w:lineRule="exact"/>
        <w:ind w:firstLine="600"/>
        <w:textAlignment w:val="auto"/>
        <w:rPr>
          <w:rFonts w:hint="eastAsia" w:ascii="仿宋" w:hAnsi="仿宋" w:eastAsia="仿宋" w:cs="仿宋"/>
          <w:sz w:val="28"/>
          <w:szCs w:val="28"/>
        </w:rPr>
      </w:pPr>
      <w:r>
        <w:rPr>
          <w:rFonts w:hint="eastAsia" w:ascii="仿宋" w:hAnsi="仿宋" w:eastAsia="仿宋" w:cs="仿宋"/>
          <w:sz w:val="28"/>
          <w:szCs w:val="28"/>
        </w:rPr>
        <w:t>当然，一些有争议的决议可能会让包括瑞士在内的西方国家“出洋相”，如2017年6月，联合国人权理事会通过“促进享有和平权”决议，中国等发展中国家投票支持，美国等西方国家投票反对，瑞士弃权。如果美国和瑞士民众得知自己的国家不支持“和平权”，肯定会非常惊讶，很可能会把注意力从中国转到本国，从“小人求诸人”变为“君子求诸己”。（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sz w:val="28"/>
          <w:szCs w:val="28"/>
        </w:rPr>
      </w:pPr>
      <w:r>
        <w:rPr>
          <w:rFonts w:hint="eastAsia" w:ascii="仿宋" w:hAnsi="仿宋" w:eastAsia="仿宋" w:cs="仿宋"/>
          <w:b/>
          <w:sz w:val="28"/>
          <w:szCs w:val="28"/>
        </w:rPr>
        <w:t>代表作2：</w:t>
      </w:r>
    </w:p>
    <w:p>
      <w:pPr>
        <w:keepNext w:val="0"/>
        <w:keepLines w:val="0"/>
        <w:pageBreakBefore w:val="0"/>
        <w:widowControl w:val="0"/>
        <w:kinsoku/>
        <w:wordWrap/>
        <w:overflowPunct/>
        <w:topLinePunct w:val="0"/>
        <w:autoSpaceDE/>
        <w:autoSpaceDN/>
        <w:bidi w:val="0"/>
        <w:adjustRightInd/>
        <w:snapToGrid/>
        <w:spacing w:line="360" w:lineRule="exact"/>
        <w:ind w:firstLine="645"/>
        <w:jc w:val="center"/>
        <w:textAlignment w:val="auto"/>
        <w:rPr>
          <w:rFonts w:hint="eastAsia" w:ascii="仿宋" w:hAnsi="仿宋" w:eastAsia="仿宋" w:cs="仿宋"/>
          <w:b/>
          <w:sz w:val="28"/>
          <w:szCs w:val="28"/>
        </w:rPr>
      </w:pPr>
      <w:r>
        <w:rPr>
          <w:rFonts w:hint="eastAsia" w:ascii="仿宋" w:hAnsi="仿宋" w:eastAsia="仿宋" w:cs="仿宋"/>
          <w:b/>
          <w:sz w:val="28"/>
          <w:szCs w:val="28"/>
        </w:rPr>
        <w:t>罗思义：为何应区分“人权”的真问题与假概念？</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中新社北京5月23日电 题：为何应区分“人权”的真问题与假概念？</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作者 罗思义(John Ross)英国伦敦市经济与商业政策署前署长、中国人民大学重阳金融研究院高级研究员</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采用“人权”这一框架来讨论人类发展问题，实为正确之举，但须以名副其实的人权概念为前提。在关于人权的讨论中，设定一个正确的人权讨论框架至关重要——因为它能解释清楚为什么中国的社会主义框架是正确的，而美国的框架和“自由民主”整体上又空又假。</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因此，我想就以下两个问题谈谈看法：第一，在人类现实生活中，为什么说中国的人权与民主立场优于美国？第二，中美两国在人权方面有哪些实际差异？</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中国政府在制定各项政策时采用了非常务实的人权概念，坚持从人类的实际生活出发，重视人们的各种需求，既涵盖最基本的粮食、住房、健康等需求，也包括人类教育、科学和文化等复杂的需求。也就是说，它涉及到人类现实生活中各个方面的真正权利。</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相反，美国的“人权”概念纯粹是人造出来的，实际而言不存在。通过举一些实例，就能轻易表明这点。</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先以中国妇女和印度妇女的地位举例，这涉及到世界上大约五分之一的人口。印度女性预期寿命为71岁，中国女性为79.2岁，也就是说中国女性寿命比印度女性长8年。中国女性识字率为95%，印度女性则为65%。印度妇女死于分娩的风险是中国妇女的8倍。可以说，在现实世界中，中国妇女的人权远远超越印度妇女。</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但美国依据自身的“民主”理念荒谬地宣称，印度妇女的人权远优于中国妇女，因为其生活在“议会制共和制”国家。显然，这个错误的概念，导致了如此可笑的结论。</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再以新冠肺炎为例。目前中国死于新冠肺炎的人数为5000多人，美国已有100多万人死于新冠肺炎，而中国总人口是美国的四倍。显然，在应对新冠肺炎方面，中国的人权记录远优于美国。毕竟，生命权是所有人权中最基本的权利。</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如果追溯社会主义的起源，就特别能看清楚人权方面的根本问题。正是为了批判错误的资本主义人权概念，才有了社会主义。澄清这些根本问题对国际社会的讨论至关重要。</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马克思对这些根本问题做出了最为透彻的分析，为处理人权相关的所有关键问题提供了参照标准。马克思在其名著《论犹太人问题》中概述了人权问题的真伪立场。</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马克思本人将犹太人在德国的地位作为特定研究对象，因为这是当时非常紧迫的政治问题。马克思分析了在自由民主制国家和议会民主制国家，纯粹“官方”或“形式上”的人权主张与真实人权状况之间的差距。更确切地说，他指出，德国只是取消了对犹太人形式上和法律上的限制，这并没有为犹太人带来真正的平等，也没有让他们实现真正意义上的人权。正是这一分析和前述中国女性与印度女性在真正人权方面的差异有着紧密联系。</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马克思证明了所谓的“政治解放”和真正的“人类解放”之间的区别，也就是政治中形式上的平等和权利，与现实中根本上的不平等和权利缺失之间的区别。马克思的经典论述阐明了西方人权概念的虚伪性和中国人权概念的正确性。</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正如马克思就美国等自由民主制国家的人权理论指出，“国家以自己的方式废除出身、社会等级、教育、职业的差别，当它宣布出身、社会等级、教育、职业是非政治性的差别时，当它不顾这些差别而宣布，每个国家的成员都是国家主权的平等参与者”。但实际上，人与人的真正差别并未消除，他们作为人享有的真正权利，他们真正意义上的“人权”并没有得到捍卫。正如他所写：“尽管如此，国家还是让私有财产、文化程度、职业以它们固有的方式，即作为私有财产、作为文化程度、作为职业来发挥作用并表现出它们的特殊本质。国家根本没有废除这些实际差别，相反，只有以这些差别为前提，国家才会存在。”</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除了马克思列举的这些真正的人权之外，我们当然还可以加上健康权、真正的男女平等、消除种族主义等许多其他权利。所有这些都构成了真正意义上的人权。</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因此，马克思证明了自由民主制的神话与人类的现实生活之间完全不同，即真正的人权与仅仅形式上的，也就是错误的人权概念之间的不同。他在一段经典论述中，对此进行了鞭辟入里的分析：“在政治国家真正形成的地方，人不仅在思想中，在意识中，而且在现实中，在生活中，都过着双重的生活——天国的生活和尘世的生活。前一种是政治共同体中的生活，在这个共同体中，人把自己看作集体存在；后一种是市民社会中的生活。”他继续写道，“在国家中……人是主权想象中的虚构成员；在这里，他被剥夺了自己现实的个人生活，并被赋予了非现实的普遍性。”</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因此，马克思指出，德国犹太人纯粹形式上的法律平等掩盖了真实存在的不平等和真正人权的缺失。自由民主制和议会民主制以狭隘的主观意志和流于形式的方式来定义“人权”，而忽视了真实存在的不平等和歧视，掩盖了真相。</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德国犹太人的真实处境终结于人类历史上最罄竹难书的罪行之一——德国的反犹主义发展为纳粹大屠杀。</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这一对犹太人在德国地位的分析，为各领域的真实人权状况提供了一个分析模式。中印女性地位的差异或中美新冠肺炎死亡人数的差异恰恰印证了这一分析模式。这就是中国所说的真正人权与纯粹形式上的人权之间的区别。</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美国声称，由于议会民主制的存在，印度女性比中国女性享有更好的人权。这恰恰证明了马克思所说的“天国的”权利(即不存在的权利)和“尘世的生活”(即真实生活)间的区别。显然，中国女性享有的真正人权远远优于印度女性，因为那是她真实的“尘世生活”。但西方的“人权”理论却荒唐地宣称，印度女性享有的人权优于中国女性，因为她们在议会民主制国家中享受着纯粹形式上的平等，过着“天堂般的生活”。但实际上，这种平等并不存在。</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在美国，无论是自由民主制还是人权理论，一切都是颠倒的。他们将次要的、形式上的且实际上并不存在的平等视为至宝，却认为“尘世生活”(即现实生活)没那么重要，正如他们无视中印女性在现实生活中的差异一样。</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社会主义和中国人权的发展使一切走上了正轨。中国政府认为，中国女性的寿命应该不断延长，女性应该识字，应该大大降低女性死于分娩的风险，这些才是最重要的事情。这才是严格意义上实用和实际的“人权”概念。</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中国将这一原则推广到了社会的各方面。根据国际标准定义的贫困线，中国已使8.5亿人摆脱了贫困，占全球减贫人口的70%以上。</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1949年，中国几乎是世界上最贫穷的国家。但按照世界银行的标准，中国在近两三年已跻身“高收入”经济体行列了。</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在人类的“尘世生活”中，中国为人类历史上最多的人口最大程度地改善了生活条件。</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也就是说，中国的人权制度是由实际成果，即人民实际生活的改善来决定的，而不是由形式上的、人为的，因而也是误导性的和错误的标准来决定的。</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自1949年以来，中国在改善人民实际生活方面取得的成就，是人类历史上可以比较的时期内最伟大的成就。这些成就完全符合人类改善现实生活的需求，而那些与之截然相反的、并不存在的“天国的生活”只是美国制度下自由资本主义民主制所提出的错误意识形态主张。</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世界各国民众越了解中国的非凡成就，就越希望自己国家的人权状况得到同样程度的改善。如此一来，各国民众对中国的态度就会更加正面。</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b/>
          <w:sz w:val="28"/>
          <w:szCs w:val="28"/>
        </w:rPr>
      </w:pPr>
      <w:r>
        <w:rPr>
          <w:rFonts w:hint="eastAsia" w:ascii="仿宋" w:hAnsi="仿宋" w:eastAsia="仿宋" w:cs="仿宋"/>
          <w:sz w:val="28"/>
          <w:szCs w:val="28"/>
        </w:rPr>
        <w:t>马克思破除了自由民主制的神话，其思想指引我们理解真正的人权和错误的“人权”概念之间的区别，且能为发展真正的人权提供最佳依据，证明当前针对中国人民和人类真正利益的意识形态攻击的谬误性。(完)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b/>
          <w:sz w:val="28"/>
          <w:szCs w:val="28"/>
        </w:rPr>
      </w:pPr>
      <w:r>
        <w:rPr>
          <w:rFonts w:hint="eastAsia" w:ascii="仿宋" w:hAnsi="仿宋" w:eastAsia="仿宋" w:cs="仿宋"/>
          <w:b/>
          <w:sz w:val="28"/>
          <w:szCs w:val="28"/>
        </w:rPr>
        <w:t>代表作3：</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张永和：人权是一个开放的概念</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中新社北京5月24日电 题：人权是一个开放的概念</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作者 张永和 西南政法大学人权研究院执行院长、教授</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人权概念源自西方，其最早的理论框架是由资产阶级在资本主义上升时期建立。它是时代的产物，以绝对的个人主义为出发点，并将人权概念理解为“公民权利和政治权利”。这种狭隘的理解与西方人权观念的产生有关。比如，被视作“第一部人权文件”的英国《大宪章》，又名“贵族纲领”，这是一份宪法性文件，是英国25位庄园领主因害怕自己的权利受到国王侵犯而提出的请求。被称为“第一个人权宣言”的美国《独立宣言》，全文没有任何关于黑人和印第安人人权的文字。可以说，这种人权理解体现出的是阶级性特征，这是西方政治哲学和司法实践的根本特质。正因于此，马克思主义不仅对资产阶级人权持批判态度，更是对资产阶级法律毫不隐晦地保护这种“阶级人权”进行批判。</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中共中央政治局在今年2月25日就中国人权发展道路进行第三十七次集体学习。中共中央总书记习近平在学习中指出，“人权是历史的、具体的、现实的，不能脱离不同国家的社会政治条件和历史文化传统空谈人权。”这是对人权文明发展逻辑的最好阐释。</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人权作为舶来品，中国人民对它的认知和把握经历了艰难曲折的过程。不过，中国共产党通过把马克思主义人权观同中国具体实际相结合、同中华优秀传统文化相结合，总结出了尊重和保障人权的成功经验。中国人权走出的是一条适合本国国情、顺应时代潮流、借鉴世界文明成果、坚持“生存权、发展权是首要的基本人权”、坚持各项权利均衡发展的道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需要注意的是，如果把人作为“类”存在，中西方人权使用的是共同的权利概念。站在自我关怀的角度而言，中西方的人权观念并没有本质区别。</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但非常遗憾的是，在人权实践中，中西方人权观念存在差异。西方主流人权理论认为人权是“消极权利”的公民权利和政治权利，这是资本主义制度内在逻辑所决定的。这样的人权观存在天生缺陷。中国则认为，公民权利和政治权利是非常重要的人权，经济社会文化权利也同样重要。没有一定的经济社会文化基础，其他的权利都会一风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设想一下，如果在伦敦郊区兰尼米德与国王约翰签署《大宪章》的不是领主，而是在领地里的农奴，那么《大宪章》的内容一定不是今天人们所看到的那样；如果主持《独立宣言》的不是包括华盛顿在内的农场主，而是农场中的奴隶，那么美国《独立宣言》将是另外一番修辞。</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中国没有像西方那样存在伴随殖民主义的资本主义时期，中国人权发展道路最显著的特征是人民性。习近平强调：“以人民为中心”“江山就是人民，人民就是江山”，体现出中国人权理念中的人民性本质。人民性是中国人权理论最具标识的精神内核。人民性是为保障人民的主体地位和人民能否真正当家作主而提出的。近年来，中国提出理论创新“全过程人民民主”，形成了可触摸的广泛充分、真实具体和有效管用的政治权利，说明了中国人权理念的人民性不是空泛的、玄虚的概念。</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人民性还有一则重要内容是人民是否真正过上了幸福生活。在中国，要让人民过上幸福生活，首先解决的是贫困问题，特别是“绝对贫困问题”。从目前来看，中国人权事业进步的最大意义就是全面建成了小康社会，使人权事业惠及每个中国人。</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生存权和发展权是其他权利的基础。作为发展中大国，中国的人权问题需要逐步予以解决。在经过一次次对人权的探索和失败后，中国发现只有把人权的普遍性原则与中国国情相结合，借鉴人类优秀文明成果，才是中国人权事业发展的正道。没有生存权和发展权，其他的权利都是无本之木。所以，中国确定“生存权、发展权是首要的基本人权”之后，中国政府通过脚踏实地地减贫、脱贫，从“小康之家”到“小康社会”，从“总体小康”到“全面小康”，从“全面建设小康社会”到“全面建成小康社会”，实现了人民幸福生活的战略目标，全面彻底地改变了中国人的生存状态。</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中国人权的理论和实践，就是将人权的普遍性原则与中国实际相结合，它与西方以个人自由主义为核心的人权理论不同，更是西方人权实践未曾面对的。中国人权事业走的是适合自己的人权发展道路，不以别国人权标准来衡量自己。其实，任何国家的人权事业也都只有靠自己建设，才能走出适合自身的人权之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r>
        <w:rPr>
          <w:rFonts w:hint="eastAsia" w:ascii="仿宋" w:hAnsi="仿宋" w:eastAsia="仿宋" w:cs="仿宋"/>
          <w:sz w:val="28"/>
          <w:szCs w:val="28"/>
        </w:rPr>
        <w:t>　　1948年，联合国大会通过第217A(III)号决议并颁布《世界人权宣言》，这是人权史上具有里程碑意义的文件，意味着人类共同拥有了第一面人权旗帜。1976年，《经济、社会及文化权利国际公约》和《公民权利和政治权利国际公约》(人权两公约)生效，使人类共同拥有了人权行动的基本准则，成为国际社会对世界人权事业认识的公约数。</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r>
        <w:rPr>
          <w:rFonts w:hint="eastAsia" w:ascii="仿宋" w:hAnsi="仿宋" w:eastAsia="仿宋" w:cs="仿宋"/>
          <w:sz w:val="28"/>
          <w:szCs w:val="28"/>
        </w:rPr>
        <w:t>面对中西方人权观念的诸多差异，在相互沟通和交流中，西方一些政客应首先摒弃意识形态偏见，在联合国的框架下，形成公正、合理、包容的全球人权治理整体性方案，包括国际和平、安全、发展等，共守全人类共同价值观，在积极参与联合国人权事务中，形成平等互信、包容互鉴、合作共赢、共同发展的理念。建立公正合理、平等互利的国际政治经济新秩序。同各国特别是发展中国家广泛开展国际人权交流合作，发挥建设性作用。(完)</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方正仿宋_GBK"/>
    <w:panose1 w:val="00000000000000000000"/>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方正小标宋简体">
    <w:altName w:val="汉仪书宋二KW"/>
    <w:panose1 w:val="00000000000000000000"/>
    <w:charset w:val="86"/>
    <w:family w:val="script"/>
    <w:pitch w:val="default"/>
    <w:sig w:usb0="00000000" w:usb1="00000000" w:usb2="0000001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1NmQ0MTI4ODEyODgxZjhiOTE1Yzc4OTg0OWZmZGYifQ=="/>
  </w:docVars>
  <w:rsids>
    <w:rsidRoot w:val="00AD3E0B"/>
    <w:rsid w:val="001B4480"/>
    <w:rsid w:val="00285C7F"/>
    <w:rsid w:val="00357A80"/>
    <w:rsid w:val="003D124D"/>
    <w:rsid w:val="003F58A5"/>
    <w:rsid w:val="00400979"/>
    <w:rsid w:val="00693D6F"/>
    <w:rsid w:val="00730D8B"/>
    <w:rsid w:val="00741C24"/>
    <w:rsid w:val="00843267"/>
    <w:rsid w:val="008F3572"/>
    <w:rsid w:val="00992AFA"/>
    <w:rsid w:val="00A079F9"/>
    <w:rsid w:val="00A432F8"/>
    <w:rsid w:val="00A653D9"/>
    <w:rsid w:val="00A77D74"/>
    <w:rsid w:val="00AD3E0B"/>
    <w:rsid w:val="00B41C57"/>
    <w:rsid w:val="00B74D92"/>
    <w:rsid w:val="00BE4CF3"/>
    <w:rsid w:val="00BF5854"/>
    <w:rsid w:val="00D76107"/>
    <w:rsid w:val="00EF16EB"/>
    <w:rsid w:val="00F67475"/>
    <w:rsid w:val="00F95DD8"/>
    <w:rsid w:val="27CE55BE"/>
    <w:rsid w:val="3BA44DCB"/>
    <w:rsid w:val="403D506B"/>
    <w:rsid w:val="4746717D"/>
    <w:rsid w:val="52946D51"/>
    <w:rsid w:val="5FF23595"/>
    <w:rsid w:val="7F9F66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eastAsia="仿宋_GB2312"/>
      <w:sz w:val="18"/>
      <w:szCs w:val="18"/>
    </w:rPr>
  </w:style>
  <w:style w:type="character" w:customStyle="1" w:styleId="7">
    <w:name w:val="页脚 字符"/>
    <w:basedOn w:val="5"/>
    <w:link w:val="2"/>
    <w:qFormat/>
    <w:uiPriority w:val="99"/>
    <w:rPr>
      <w:rFonts w:eastAsia="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17710</Words>
  <Characters>18044</Characters>
  <Lines>13</Lines>
  <Paragraphs>3</Paragraphs>
  <TotalTime>32</TotalTime>
  <ScaleCrop>false</ScaleCrop>
  <LinksUpToDate>false</LinksUpToDate>
  <CharactersWithSpaces>18186</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2023-02-22T15:20:00Z</dcterms:created>
  <dc:creator>DELL</dc:creator>
  <cp:lastModifiedBy>regina</cp:lastModifiedBy>
  <cp:lastPrinted>2023-04-25T13:59:00Z</cp:lastPrinted>
  <dcterms:modified xsi:type="dcterms:W3CDTF">2023-05-08T15:24:31Z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A5B3B4DC902647D48E273265DCBDC33B_12</vt:lpwstr>
  </property>
</Properties>
</file>