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color w:val="000000"/>
          <w:szCs w:val="32"/>
        </w:rPr>
      </w:pPr>
      <w:r>
        <w:rPr>
          <w:rFonts w:hint="eastAsia" w:ascii="黑体" w:hAnsi="黑体" w:eastAsia="黑体" w:cs="黑体"/>
          <w:bCs/>
          <w:color w:val="000000"/>
          <w:szCs w:val="32"/>
        </w:rPr>
        <w:t>附件4</w:t>
      </w:r>
    </w:p>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4"/>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855"/>
        <w:gridCol w:w="135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29" w:hRule="exact"/>
        </w:trPr>
        <w:tc>
          <w:tcPr>
            <w:tcW w:w="1450"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华文中宋" w:hAnsi="华文中宋" w:eastAsia="华文中宋"/>
                <w:color w:val="000000"/>
                <w:sz w:val="28"/>
              </w:rPr>
            </w:pPr>
            <w:r>
              <w:rPr>
                <w:rFonts w:hint="eastAsia" w:ascii="仿宋" w:hAnsi="仿宋" w:eastAsia="仿宋" w:cs="仿宋"/>
                <w:color w:val="000000"/>
                <w:sz w:val="28"/>
              </w:rPr>
              <w:t>“人权观·中国叙事”系列报道</w:t>
            </w: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lang w:val="en-US" w:eastAsia="zh-CN"/>
              </w:rPr>
            </w:pPr>
            <w:r>
              <w:rPr>
                <w:rFonts w:hint="eastAsia" w:ascii="仿宋" w:hAnsi="仿宋" w:eastAsia="仿宋" w:cs="仿宋"/>
                <w:color w:val="000000"/>
                <w:sz w:val="28"/>
                <w:lang w:eastAsia="zh-CN"/>
              </w:rPr>
              <w:t>重大主题报道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3"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仿宋" w:hAnsi="仿宋" w:eastAsia="仿宋" w:cs="仿宋"/>
                <w:color w:val="000000"/>
                <w:sz w:val="28"/>
                <w:lang w:val="en-US" w:eastAsia="zh-Hans"/>
              </w:rPr>
            </w:pPr>
            <w:r>
              <w:rPr>
                <w:rFonts w:hint="eastAsia" w:ascii="仿宋" w:hAnsi="仿宋" w:eastAsia="仿宋" w:cs="仿宋"/>
                <w:color w:val="000000"/>
                <w:sz w:val="28"/>
                <w:lang w:val="en-US" w:eastAsia="zh-Hans"/>
              </w:rPr>
              <w:t>系列报道</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2"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14" w:hRule="atLeast"/>
        </w:trPr>
        <w:tc>
          <w:tcPr>
            <w:tcW w:w="1450"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集体（陈陆军、张雷、张量、邓敏、曾静宁、朱方芳、杨程晨、德永健、李晗雪）</w:t>
            </w:r>
          </w:p>
        </w:tc>
        <w:tc>
          <w:tcPr>
            <w:tcW w:w="855"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集体（尹宁、魏群、夏宇华、张红、唐伟杰、董会峰、文龙杰、王欢、郭金超、贾靖峰）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7" w:hRule="atLeast"/>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28" w:hRule="exact"/>
        </w:trPr>
        <w:tc>
          <w:tcPr>
            <w:tcW w:w="1450" w:type="dxa"/>
            <w:vAlign w:val="center"/>
          </w:tcPr>
          <w:p>
            <w:pPr>
              <w:spacing w:line="44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电讯通稿</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2022年5月</w:t>
            </w:r>
            <w:r>
              <w:rPr>
                <w:rFonts w:hint="eastAsia" w:ascii="仿宋" w:hAnsi="仿宋" w:eastAsia="仿宋" w:cs="仿宋"/>
                <w:color w:val="000000"/>
                <w:sz w:val="28"/>
                <w:lang w:val="en-US" w:eastAsia="zh-CN"/>
              </w:rPr>
              <w:t>20</w:t>
            </w:r>
            <w:r>
              <w:rPr>
                <w:rFonts w:hint="eastAsia" w:ascii="仿宋" w:hAnsi="仿宋" w:eastAsia="仿宋" w:cs="仿宋"/>
                <w:color w:val="000000"/>
                <w:sz w:val="28"/>
              </w:rPr>
              <w:t>日至2022年5月26日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9" w:hRule="exact"/>
        </w:trPr>
        <w:tc>
          <w:tcPr>
            <w:tcW w:w="2827" w:type="dxa"/>
            <w:gridSpan w:val="2"/>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6797" w:type="dxa"/>
            <w:gridSpan w:val="4"/>
            <w:vAlign w:val="center"/>
          </w:tcPr>
          <w:p>
            <w:pPr>
              <w:spacing w:line="260" w:lineRule="exact"/>
              <w:rPr>
                <w:rFonts w:ascii="华文中宋" w:hAnsi="华文中宋" w:eastAsia="华文中宋"/>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7" w:hRule="atLeast"/>
        </w:trPr>
        <w:tc>
          <w:tcPr>
            <w:tcW w:w="1450"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中国新闻社2022年围绕阐释习近平总书记关于保障和发展人权的重要论述，加强策划人权主题报道，构建中国人权叙事体系。其中，“人权观·中国叙事”系列学理性报道是</w:t>
            </w:r>
            <w:r>
              <w:rPr>
                <w:rFonts w:hint="eastAsia" w:ascii="仿宋" w:hAnsi="仿宋" w:eastAsia="仿宋" w:cs="仿宋"/>
                <w:sz w:val="28"/>
                <w:szCs w:val="28"/>
                <w:lang w:val="en-US" w:eastAsia="zh-CN"/>
              </w:rPr>
              <w:t>结合新闻事实开展的</w:t>
            </w:r>
            <w:r>
              <w:rPr>
                <w:rFonts w:hint="eastAsia" w:ascii="仿宋" w:hAnsi="仿宋" w:eastAsia="仿宋" w:cs="仿宋"/>
                <w:sz w:val="28"/>
                <w:szCs w:val="28"/>
              </w:rPr>
              <w:t>专门策划，旨在讲清中国人权成就和理念，并通过学理性阐述、中西比较，主动设置议题，树立中国人权观的学理叙事，对西方人权话语进行解构和重构，有力回应外界关切。</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系列报道通过与中外知名学者专家共同研究，确定了对中国人权理念核心叙事议题和中西比较下的人权核心议题进行阐发和评论，设置了如何理解中国“基于发展的人权路径”、如何认识中国人权成就重大意义、人权的真问题和假概念的辨析、中国5000年历史文化对中国人权观的塑造，以及如何促进中西人权观交流为全球人权治理</w:t>
            </w:r>
            <w:r>
              <w:rPr>
                <w:rFonts w:hint="eastAsia" w:ascii="仿宋" w:hAnsi="仿宋" w:eastAsia="仿宋" w:cs="仿宋"/>
                <w:sz w:val="28"/>
                <w:szCs w:val="28"/>
                <w:lang w:val="en-US" w:eastAsia="zh-CN"/>
              </w:rPr>
              <w:t>作</w:t>
            </w:r>
            <w:r>
              <w:rPr>
                <w:rFonts w:hint="eastAsia" w:ascii="仿宋" w:hAnsi="仿宋" w:eastAsia="仿宋" w:cs="仿宋"/>
                <w:sz w:val="28"/>
                <w:szCs w:val="28"/>
              </w:rPr>
              <w:t>贡献等重大议题，搭建起中西互鉴、理性沟通的中国人权叙事框架。</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55" w:hRule="exact"/>
        </w:trPr>
        <w:tc>
          <w:tcPr>
            <w:tcW w:w="1450"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此系列报道共刊发</w:t>
            </w:r>
            <w:r>
              <w:rPr>
                <w:rFonts w:hint="eastAsia" w:ascii="仿宋" w:hAnsi="仿宋" w:eastAsia="仿宋" w:cs="仿宋"/>
                <w:sz w:val="28"/>
                <w:szCs w:val="28"/>
                <w:lang w:val="en-US" w:eastAsia="zh-CN"/>
              </w:rPr>
              <w:t>6</w:t>
            </w:r>
            <w:r>
              <w:rPr>
                <w:rFonts w:hint="eastAsia" w:ascii="仿宋" w:hAnsi="仿宋" w:eastAsia="仿宋" w:cs="仿宋"/>
                <w:sz w:val="28"/>
                <w:szCs w:val="28"/>
              </w:rPr>
              <w:t>篇，刊发平台包括中新社文字电讯通稿、</w:t>
            </w:r>
            <w:r>
              <w:rPr>
                <w:rFonts w:hint="eastAsia" w:ascii="仿宋" w:hAnsi="仿宋" w:eastAsia="仿宋" w:cs="仿宋"/>
                <w:sz w:val="28"/>
                <w:szCs w:val="28"/>
                <w:lang w:val="en-US" w:eastAsia="zh-CN"/>
              </w:rPr>
              <w:t>中国新闻网</w:t>
            </w:r>
            <w:r>
              <w:rPr>
                <w:rFonts w:hint="eastAsia" w:ascii="仿宋" w:hAnsi="仿宋" w:eastAsia="仿宋" w:cs="仿宋"/>
                <w:sz w:val="28"/>
                <w:szCs w:val="28"/>
              </w:rPr>
              <w:t>网站及</w:t>
            </w:r>
            <w:r>
              <w:rPr>
                <w:rFonts w:hint="eastAsia" w:ascii="仿宋" w:hAnsi="仿宋" w:eastAsia="仿宋" w:cs="仿宋"/>
                <w:sz w:val="28"/>
                <w:szCs w:val="28"/>
                <w:lang w:val="en-US" w:eastAsia="zh-CN"/>
              </w:rPr>
              <w:t>中新社</w:t>
            </w:r>
            <w:r>
              <w:rPr>
                <w:rFonts w:hint="eastAsia" w:ascii="仿宋" w:hAnsi="仿宋" w:eastAsia="仿宋" w:cs="仿宋"/>
                <w:sz w:val="28"/>
                <w:szCs w:val="28"/>
              </w:rPr>
              <w:t>社交新媒体平台。电讯通稿获得美</w:t>
            </w:r>
            <w:r>
              <w:rPr>
                <w:rFonts w:hint="eastAsia" w:ascii="仿宋" w:hAnsi="仿宋" w:eastAsia="仿宋" w:cs="仿宋"/>
                <w:sz w:val="28"/>
                <w:szCs w:val="28"/>
                <w:lang w:val="en-US" w:eastAsia="zh-CN"/>
              </w:rPr>
              <w:t>国</w:t>
            </w:r>
            <w:r>
              <w:rPr>
                <w:rFonts w:hint="eastAsia" w:ascii="仿宋" w:hAnsi="仿宋" w:eastAsia="仿宋" w:cs="仿宋"/>
                <w:sz w:val="28"/>
                <w:szCs w:val="28"/>
              </w:rPr>
              <w:t>、法</w:t>
            </w:r>
            <w:r>
              <w:rPr>
                <w:rFonts w:hint="eastAsia" w:ascii="仿宋" w:hAnsi="仿宋" w:eastAsia="仿宋" w:cs="仿宋"/>
                <w:sz w:val="28"/>
                <w:szCs w:val="28"/>
                <w:lang w:val="en-US" w:eastAsia="zh-CN"/>
              </w:rPr>
              <w:t>国</w:t>
            </w:r>
            <w:r>
              <w:rPr>
                <w:rFonts w:hint="eastAsia" w:ascii="仿宋" w:hAnsi="仿宋" w:eastAsia="仿宋" w:cs="仿宋"/>
                <w:sz w:val="28"/>
                <w:szCs w:val="28"/>
              </w:rPr>
              <w:t>、希腊、瑞典、巴西、巴拿马、巴基斯坦、斐济、新西兰、南非等</w:t>
            </w:r>
            <w:r>
              <w:rPr>
                <w:rFonts w:hint="eastAsia" w:ascii="仿宋" w:hAnsi="仿宋" w:eastAsia="仿宋" w:cs="仿宋"/>
                <w:sz w:val="28"/>
                <w:szCs w:val="28"/>
                <w:lang w:val="en-US" w:eastAsia="zh-CN"/>
              </w:rPr>
              <w:t>国家近20</w:t>
            </w:r>
            <w:r>
              <w:rPr>
                <w:rFonts w:hint="eastAsia" w:ascii="仿宋" w:hAnsi="仿宋" w:eastAsia="仿宋" w:cs="仿宋"/>
                <w:sz w:val="28"/>
                <w:szCs w:val="28"/>
              </w:rPr>
              <w:t>家海外华媒报纸刊发。在新媒体端，中新社</w:t>
            </w:r>
            <w:r>
              <w:rPr>
                <w:rFonts w:hint="eastAsia" w:ascii="仿宋" w:hAnsi="仿宋" w:eastAsia="仿宋" w:cs="仿宋"/>
                <w:sz w:val="28"/>
                <w:szCs w:val="28"/>
                <w:lang w:val="en-US" w:eastAsia="zh-CN"/>
              </w:rPr>
              <w:t>自有</w:t>
            </w:r>
            <w:r>
              <w:rPr>
                <w:rFonts w:hint="eastAsia" w:ascii="仿宋" w:hAnsi="仿宋" w:eastAsia="仿宋" w:cs="仿宋"/>
                <w:sz w:val="28"/>
                <w:szCs w:val="28"/>
              </w:rPr>
              <w:t>平台阅读</w:t>
            </w:r>
            <w:r>
              <w:rPr>
                <w:rFonts w:hint="eastAsia" w:ascii="仿宋" w:hAnsi="仿宋" w:eastAsia="仿宋" w:cs="仿宋"/>
                <w:sz w:val="28"/>
                <w:szCs w:val="28"/>
                <w:lang w:val="en-US" w:eastAsia="zh-CN"/>
              </w:rPr>
              <w:t>量</w:t>
            </w:r>
            <w:r>
              <w:rPr>
                <w:rFonts w:hint="eastAsia" w:ascii="仿宋" w:hAnsi="仿宋" w:eastAsia="仿宋" w:cs="仿宋"/>
                <w:sz w:val="28"/>
                <w:szCs w:val="28"/>
              </w:rPr>
              <w:t>约1800万</w:t>
            </w:r>
            <w:r>
              <w:rPr>
                <w:rFonts w:hint="eastAsia" w:ascii="仿宋" w:hAnsi="仿宋" w:eastAsia="仿宋" w:cs="仿宋"/>
                <w:sz w:val="28"/>
                <w:szCs w:val="28"/>
                <w:lang w:eastAsia="zh-CN"/>
              </w:rPr>
              <w:t>，</w:t>
            </w:r>
            <w:r>
              <w:rPr>
                <w:rFonts w:hint="eastAsia" w:ascii="仿宋" w:hAnsi="仿宋" w:eastAsia="仿宋" w:cs="仿宋"/>
                <w:sz w:val="28"/>
                <w:szCs w:val="28"/>
              </w:rPr>
              <w:t>相关报道还被国内数十家网站重点转载。</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此系列报道抓住关键话语、结合热点话题，学理性和可读性兼具，不仅取得了极佳的新闻传播效果，也得到了学界的高度认可，中国人权研究会专门在</w:t>
            </w:r>
            <w:r>
              <w:rPr>
                <w:rFonts w:hint="eastAsia" w:ascii="仿宋" w:hAnsi="仿宋" w:eastAsia="仿宋" w:cs="仿宋"/>
                <w:sz w:val="28"/>
                <w:szCs w:val="28"/>
                <w:lang w:val="en-US" w:eastAsia="zh-CN"/>
              </w:rPr>
              <w:t>微信公众号</w:t>
            </w:r>
            <w:r>
              <w:rPr>
                <w:rFonts w:hint="eastAsia" w:ascii="仿宋" w:hAnsi="仿宋" w:eastAsia="仿宋" w:cs="仿宋"/>
                <w:sz w:val="28"/>
                <w:szCs w:val="28"/>
              </w:rPr>
              <w:t>上进行了专题刊发，受访外国专家学者也积极肯定相关报道，并在个人社交平台进行推送，在国际学界产生积极影响。在此系列稿件策划基础上，中新社还举办了“中国人权发展道路”国际研讨会，搭建起中西人权理性交流对话的国际平台，扩大了中国人权话语的国际影响。</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788" w:hRule="exact"/>
        </w:trPr>
        <w:tc>
          <w:tcPr>
            <w:tcW w:w="1450" w:type="dxa"/>
            <w:tcBorders>
              <w:bottom w:val="single" w:color="auto" w:sz="4" w:space="0"/>
            </w:tcBorders>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如何讲好中国人权故事，说清中国人权成就、理念是重大国际传播课题。中国新闻社</w:t>
            </w:r>
            <w:r>
              <w:rPr>
                <w:rFonts w:hint="eastAsia" w:ascii="仿宋" w:hAnsi="仿宋" w:eastAsia="仿宋" w:cs="仿宋"/>
                <w:sz w:val="28"/>
                <w:szCs w:val="28"/>
                <w:lang w:eastAsia="zh-CN"/>
              </w:rPr>
              <w:t>“</w:t>
            </w:r>
            <w:r>
              <w:rPr>
                <w:rFonts w:hint="eastAsia" w:ascii="仿宋" w:hAnsi="仿宋" w:eastAsia="仿宋" w:cs="仿宋"/>
                <w:sz w:val="28"/>
                <w:szCs w:val="28"/>
              </w:rPr>
              <w:t>人权观·中国叙事</w:t>
            </w:r>
            <w:r>
              <w:rPr>
                <w:rFonts w:hint="eastAsia" w:ascii="仿宋" w:hAnsi="仿宋" w:eastAsia="仿宋" w:cs="仿宋"/>
                <w:sz w:val="28"/>
                <w:szCs w:val="28"/>
                <w:lang w:eastAsia="zh-CN"/>
              </w:rPr>
              <w:t>”</w:t>
            </w:r>
            <w:r>
              <w:rPr>
                <w:rFonts w:hint="eastAsia" w:ascii="仿宋" w:hAnsi="仿宋" w:eastAsia="仿宋" w:cs="仿宋"/>
                <w:sz w:val="28"/>
                <w:szCs w:val="28"/>
              </w:rPr>
              <w:t>系列报道，从新闻角度切入，通过学理叙事，理性辨析、史论结合、中西对比、今昔对接，正面建构人权观的中国叙事，再以极富“当代性”和“全球性”的观察视角，进一步阐述中国人权理念的当代意义，以世界维度的观照达至有效讲述中国人权故事的目标。</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该系列作品通过极具分量的核心议题设置，向世界展示了中国人权理念，辨析了中西人权观的共识与分歧，以新视角增加国际社会对中国人权理念的了解和认知。以学者客观、平实的视角回应国际社会对中国的关注与疑问，起到了明辨事实，论清义理，廓清</w:t>
            </w:r>
            <w:r>
              <w:rPr>
                <w:rFonts w:hint="eastAsia" w:ascii="仿宋" w:hAnsi="仿宋" w:eastAsia="仿宋" w:cs="仿宋"/>
                <w:sz w:val="28"/>
                <w:szCs w:val="28"/>
                <w:lang w:val="en-US" w:eastAsia="zh-CN"/>
              </w:rPr>
              <w:t>迷雾</w:t>
            </w:r>
            <w:r>
              <w:rPr>
                <w:rFonts w:hint="eastAsia" w:ascii="仿宋" w:hAnsi="仿宋" w:eastAsia="仿宋" w:cs="仿宋"/>
                <w:sz w:val="28"/>
                <w:szCs w:val="28"/>
              </w:rPr>
              <w:t>的作用。</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更加难得的是，该系列作品专访到多位国内外具有影响力的中国人权研究学者专家，提升了中国人权叙事和议题在国际舆论场的声量。该系列作品在人权主题报道中勇于创新，是具有高水准的专业新闻策划，并且取得了良好的社会效果，是难得的高质量高效能新闻作品。同意推荐。</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rPr>
                <w:rFonts w:hint="eastAsia"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rPr>
                <w:rFonts w:hint="eastAsia" w:ascii="华文中宋" w:hAnsi="华文中宋" w:eastAsia="华文中宋"/>
                <w:color w:val="000000"/>
                <w:spacing w:val="-2"/>
                <w:sz w:val="28"/>
              </w:rPr>
            </w:pPr>
          </w:p>
          <w:p>
            <w:pPr>
              <w:spacing w:line="360" w:lineRule="exact"/>
              <w:ind w:firstLine="4140" w:firstLineChars="15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rPr>
                <w:rFonts w:ascii="仿宋" w:hAnsi="仿宋" w:eastAsia="仿宋"/>
                <w:color w:val="000000"/>
                <w:szCs w:val="21"/>
              </w:rPr>
            </w:pPr>
            <w:r>
              <w:rPr>
                <w:rFonts w:hint="eastAsia" w:ascii="仿宋_GB2312"/>
                <w:color w:val="000000"/>
                <w:sz w:val="28"/>
              </w:rPr>
              <w:t xml:space="preserve">                                 </w:t>
            </w:r>
            <w:r>
              <w:rPr>
                <w:rFonts w:ascii="华文中宋" w:hAnsi="华文中宋" w:eastAsia="华文中宋"/>
                <w:color w:val="000000"/>
                <w:sz w:val="28"/>
              </w:rPr>
              <w:t>20</w:t>
            </w:r>
            <w:r>
              <w:rPr>
                <w:rFonts w:hint="eastAsia" w:ascii="华文中宋" w:hAnsi="华文中宋" w:eastAsia="华文中宋"/>
                <w:color w:val="000000"/>
                <w:sz w:val="28"/>
              </w:rPr>
              <w:t>23</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bl>
    <w:p>
      <w:pPr>
        <w:rPr>
          <w:rFonts w:ascii="黑体" w:hAnsi="黑体" w:eastAsia="黑体" w:cs="黑体"/>
          <w:bCs/>
          <w:color w:val="000000"/>
          <w:szCs w:val="32"/>
        </w:rPr>
      </w:pPr>
      <w:r>
        <w:rPr>
          <w:rFonts w:hint="eastAsia" w:ascii="黑体" w:hAnsi="黑体" w:eastAsia="黑体" w:cs="黑体"/>
          <w:bCs/>
          <w:color w:val="000000"/>
          <w:szCs w:val="32"/>
        </w:rPr>
        <w:t>附件5</w:t>
      </w:r>
    </w:p>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中国新闻奖系列报道作品完整目录</w:t>
      </w:r>
    </w:p>
    <w:tbl>
      <w:tblPr>
        <w:tblStyle w:val="4"/>
        <w:tblW w:w="9713" w:type="dxa"/>
        <w:tblInd w:w="-297" w:type="dxa"/>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942"/>
        <w:gridCol w:w="2602"/>
        <w:gridCol w:w="849"/>
        <w:gridCol w:w="843"/>
        <w:gridCol w:w="1584"/>
        <w:gridCol w:w="966"/>
        <w:gridCol w:w="1096"/>
      </w:tblGrid>
      <w:tr>
        <w:trPr>
          <w:trHeight w:val="680" w:hRule="exact"/>
        </w:trPr>
        <w:tc>
          <w:tcPr>
            <w:tcW w:w="1773" w:type="dxa"/>
            <w:gridSpan w:val="2"/>
            <w:tcBorders>
              <w:bottom w:val="single" w:color="auto" w:sz="4" w:space="0"/>
            </w:tcBorders>
            <w:vAlign w:val="center"/>
          </w:tcPr>
          <w:p>
            <w:pPr>
              <w:snapToGrid w:val="0"/>
              <w:rPr>
                <w:rFonts w:ascii="华文中宋" w:hAnsi="华文中宋" w:eastAsia="华文中宋"/>
                <w:color w:val="000000"/>
                <w:sz w:val="28"/>
                <w:szCs w:val="28"/>
              </w:rPr>
            </w:pPr>
            <w:r>
              <w:rPr>
                <w:rFonts w:hint="eastAsia" w:ascii="华文中宋" w:hAnsi="华文中宋" w:eastAsia="华文中宋"/>
                <w:color w:val="000000"/>
                <w:sz w:val="28"/>
                <w:szCs w:val="28"/>
              </w:rPr>
              <w:t>作品标题</w:t>
            </w:r>
          </w:p>
        </w:tc>
        <w:tc>
          <w:tcPr>
            <w:tcW w:w="7940" w:type="dxa"/>
            <w:gridSpan w:val="6"/>
            <w:tcBorders>
              <w:bottom w:val="single" w:color="auto" w:sz="4" w:space="0"/>
            </w:tcBorders>
            <w:vAlign w:val="center"/>
          </w:tcPr>
          <w:p>
            <w:pPr>
              <w:snapToGrid w:val="0"/>
              <w:ind w:firstLine="560"/>
              <w:jc w:val="center"/>
              <w:rPr>
                <w:rFonts w:ascii="华文中宋" w:hAnsi="华文中宋" w:eastAsia="华文中宋"/>
                <w:color w:val="000000"/>
                <w:sz w:val="28"/>
                <w:szCs w:val="28"/>
              </w:rPr>
            </w:pPr>
            <w:r>
              <w:rPr>
                <w:rFonts w:hint="eastAsia" w:ascii="华文中宋" w:hAnsi="华文中宋" w:eastAsia="华文中宋"/>
                <w:color w:val="000000"/>
                <w:sz w:val="28"/>
              </w:rPr>
              <w:t xml:space="preserve">人权观·中国叙事系列报道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831"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序号</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单篇作品标题</w:t>
            </w:r>
          </w:p>
        </w:tc>
        <w:tc>
          <w:tcPr>
            <w:tcW w:w="84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体裁</w:t>
            </w:r>
          </w:p>
        </w:tc>
        <w:tc>
          <w:tcPr>
            <w:tcW w:w="843"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字数/时长</w:t>
            </w:r>
          </w:p>
        </w:tc>
        <w:tc>
          <w:tcPr>
            <w:tcW w:w="1584"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刊播日期</w:t>
            </w:r>
          </w:p>
        </w:tc>
        <w:tc>
          <w:tcPr>
            <w:tcW w:w="966"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刊播版面</w:t>
            </w: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4" w:hRule="exact"/>
        </w:trPr>
        <w:tc>
          <w:tcPr>
            <w:tcW w:w="831" w:type="dxa"/>
            <w:tcBorders>
              <w:bottom w:val="single" w:color="auto" w:sz="4" w:space="0"/>
            </w:tcBorders>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1</w:t>
            </w:r>
          </w:p>
        </w:tc>
        <w:tc>
          <w:tcPr>
            <w:tcW w:w="3544" w:type="dxa"/>
            <w:gridSpan w:val="2"/>
            <w:tcBorders>
              <w:bottom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《胜雅律：如何增进中西方</w:t>
            </w:r>
          </w:p>
          <w:p>
            <w:pPr>
              <w:snapToGrid w:val="0"/>
              <w:jc w:val="both"/>
              <w:rPr>
                <w:rFonts w:ascii="宋体" w:hAnsi="宋体"/>
                <w:color w:val="000000"/>
                <w:sz w:val="28"/>
                <w:szCs w:val="28"/>
              </w:rPr>
            </w:pPr>
            <w:r>
              <w:rPr>
                <w:rFonts w:hint="eastAsia" w:ascii="宋体" w:hAnsi="宋体"/>
                <w:color w:val="000000"/>
                <w:sz w:val="28"/>
                <w:szCs w:val="28"/>
              </w:rPr>
              <w:t>人权观沟通交流？》</w:t>
            </w:r>
          </w:p>
        </w:tc>
        <w:tc>
          <w:tcPr>
            <w:tcW w:w="849" w:type="dxa"/>
            <w:tcBorders>
              <w:bottom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tcBorders>
              <w:bottom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lang w:val="en-US" w:eastAsia="zh-CN"/>
              </w:rPr>
              <w:t>1493</w:t>
            </w:r>
          </w:p>
        </w:tc>
        <w:tc>
          <w:tcPr>
            <w:tcW w:w="1584" w:type="dxa"/>
            <w:tcBorders>
              <w:bottom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2022．05．20</w:t>
            </w:r>
          </w:p>
        </w:tc>
        <w:tc>
          <w:tcPr>
            <w:tcW w:w="966" w:type="dxa"/>
            <w:tcBorders>
              <w:bottom w:val="single" w:color="auto" w:sz="4" w:space="0"/>
            </w:tcBorders>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tcBorders>
              <w:bottom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2" w:hRule="exact"/>
        </w:trPr>
        <w:tc>
          <w:tcPr>
            <w:tcW w:w="83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2</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《鲁广锦：中国“基于发展的人权路径”有何不同？》</w:t>
            </w:r>
          </w:p>
        </w:tc>
        <w:tc>
          <w:tcPr>
            <w:tcW w:w="84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2310</w:t>
            </w:r>
          </w:p>
        </w:tc>
        <w:tc>
          <w:tcPr>
            <w:tcW w:w="15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2022．05．21</w:t>
            </w:r>
          </w:p>
        </w:tc>
        <w:tc>
          <w:tcPr>
            <w:tcW w:w="966"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7" w:hRule="exact"/>
        </w:trPr>
        <w:tc>
          <w:tcPr>
            <w:tcW w:w="831" w:type="dxa"/>
            <w:tcBorders>
              <w:top w:val="single" w:color="auto" w:sz="4" w:space="0"/>
            </w:tcBorders>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3</w:t>
            </w:r>
          </w:p>
        </w:tc>
        <w:tc>
          <w:tcPr>
            <w:tcW w:w="3544" w:type="dxa"/>
            <w:gridSpan w:val="2"/>
            <w:tcBorders>
              <w:top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《王文：为何说西方欠中国人权一次真切的道歉？》</w:t>
            </w:r>
          </w:p>
        </w:tc>
        <w:tc>
          <w:tcPr>
            <w:tcW w:w="849" w:type="dxa"/>
            <w:tcBorders>
              <w:top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tcBorders>
              <w:top w:val="single" w:color="auto" w:sz="4" w:space="0"/>
            </w:tcBorders>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2653</w:t>
            </w:r>
          </w:p>
        </w:tc>
        <w:tc>
          <w:tcPr>
            <w:tcW w:w="1584" w:type="dxa"/>
            <w:tcBorders>
              <w:top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2022．05．22</w:t>
            </w:r>
          </w:p>
        </w:tc>
        <w:tc>
          <w:tcPr>
            <w:tcW w:w="966" w:type="dxa"/>
            <w:tcBorders>
              <w:top w:val="single" w:color="auto" w:sz="4" w:space="0"/>
            </w:tcBorders>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tcBorders>
              <w:top w:val="single" w:color="auto" w:sz="4" w:space="0"/>
            </w:tcBorders>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5"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4</w:t>
            </w:r>
          </w:p>
        </w:tc>
        <w:tc>
          <w:tcPr>
            <w:tcW w:w="3544" w:type="dxa"/>
            <w:gridSpan w:val="2"/>
            <w:vAlign w:val="center"/>
          </w:tcPr>
          <w:p>
            <w:pPr>
              <w:snapToGrid w:val="0"/>
              <w:jc w:val="center"/>
              <w:rPr>
                <w:rFonts w:ascii="宋体" w:hAnsi="宋体"/>
                <w:color w:val="000000"/>
                <w:sz w:val="28"/>
                <w:szCs w:val="28"/>
              </w:rPr>
            </w:pPr>
            <w:r>
              <w:rPr>
                <w:rFonts w:hint="eastAsia" w:ascii="宋体" w:hAnsi="宋体"/>
                <w:color w:val="000000"/>
                <w:sz w:val="28"/>
                <w:szCs w:val="28"/>
              </w:rPr>
              <w:t>《罗思义：为何应区分“人权”的真问题与假概念？》</w:t>
            </w:r>
          </w:p>
        </w:tc>
        <w:tc>
          <w:tcPr>
            <w:tcW w:w="849" w:type="dxa"/>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2823</w:t>
            </w:r>
          </w:p>
        </w:tc>
        <w:tc>
          <w:tcPr>
            <w:tcW w:w="1584" w:type="dxa"/>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2022．05．23</w:t>
            </w:r>
          </w:p>
        </w:tc>
        <w:tc>
          <w:tcPr>
            <w:tcW w:w="966" w:type="dxa"/>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vAlign w:val="center"/>
          </w:tcPr>
          <w:p>
            <w:pPr>
              <w:snapToGrid w:val="0"/>
              <w:jc w:val="center"/>
              <w:rPr>
                <w:rFonts w:ascii="宋体" w:hAnsi="宋体"/>
                <w:color w:val="000000"/>
                <w:sz w:val="28"/>
                <w:szCs w:val="28"/>
              </w:rPr>
            </w:pPr>
            <w:r>
              <w:rPr>
                <w:rFonts w:hint="eastAsia" w:ascii="宋体" w:hAnsi="宋体"/>
                <w:color w:val="000000"/>
                <w:sz w:val="28"/>
                <w:szCs w:val="28"/>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3"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5</w:t>
            </w:r>
          </w:p>
        </w:tc>
        <w:tc>
          <w:tcPr>
            <w:tcW w:w="3544" w:type="dxa"/>
            <w:gridSpan w:val="2"/>
            <w:vAlign w:val="center"/>
          </w:tcPr>
          <w:p>
            <w:pPr>
              <w:snapToGrid w:val="0"/>
              <w:jc w:val="center"/>
              <w:rPr>
                <w:rFonts w:hint="eastAsia" w:ascii="宋体" w:hAnsi="宋体"/>
                <w:color w:val="000000"/>
                <w:sz w:val="28"/>
                <w:szCs w:val="28"/>
              </w:rPr>
            </w:pPr>
            <w:r>
              <w:rPr>
                <w:rFonts w:hint="eastAsia" w:ascii="宋体" w:hAnsi="宋体"/>
                <w:color w:val="000000"/>
                <w:sz w:val="28"/>
                <w:szCs w:val="28"/>
              </w:rPr>
              <w:t>《张永和：人权是一个开放</w:t>
            </w:r>
          </w:p>
          <w:p>
            <w:pPr>
              <w:snapToGrid w:val="0"/>
              <w:jc w:val="both"/>
              <w:rPr>
                <w:rFonts w:ascii="宋体" w:hAnsi="宋体"/>
                <w:color w:val="000000"/>
                <w:sz w:val="28"/>
                <w:szCs w:val="28"/>
              </w:rPr>
            </w:pPr>
            <w:r>
              <w:rPr>
                <w:rFonts w:hint="eastAsia" w:ascii="宋体" w:hAnsi="宋体"/>
                <w:color w:val="000000"/>
                <w:sz w:val="28"/>
                <w:szCs w:val="28"/>
              </w:rPr>
              <w:t>的概念》</w:t>
            </w:r>
          </w:p>
        </w:tc>
        <w:tc>
          <w:tcPr>
            <w:tcW w:w="849" w:type="dxa"/>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1973</w:t>
            </w:r>
          </w:p>
        </w:tc>
        <w:tc>
          <w:tcPr>
            <w:tcW w:w="1584" w:type="dxa"/>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2022．05．24</w:t>
            </w:r>
          </w:p>
        </w:tc>
        <w:tc>
          <w:tcPr>
            <w:tcW w:w="966" w:type="dxa"/>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vAlign w:val="center"/>
          </w:tcPr>
          <w:p>
            <w:pPr>
              <w:snapToGrid w:val="0"/>
              <w:jc w:val="center"/>
              <w:rPr>
                <w:rFonts w:ascii="宋体" w:hAnsi="宋体"/>
                <w:color w:val="000000"/>
                <w:sz w:val="28"/>
                <w:szCs w:val="28"/>
              </w:rPr>
            </w:pPr>
            <w:r>
              <w:rPr>
                <w:rFonts w:hint="eastAsia" w:ascii="宋体" w:hAnsi="宋体"/>
                <w:color w:val="000000"/>
                <w:sz w:val="28"/>
                <w:szCs w:val="28"/>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1"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6</w:t>
            </w:r>
          </w:p>
        </w:tc>
        <w:tc>
          <w:tcPr>
            <w:tcW w:w="3544" w:type="dxa"/>
            <w:gridSpan w:val="2"/>
            <w:vAlign w:val="center"/>
          </w:tcPr>
          <w:p>
            <w:pPr>
              <w:snapToGrid w:val="0"/>
              <w:jc w:val="center"/>
              <w:rPr>
                <w:rFonts w:hint="eastAsia" w:ascii="宋体" w:hAnsi="宋体"/>
                <w:color w:val="000000"/>
                <w:sz w:val="28"/>
                <w:szCs w:val="28"/>
              </w:rPr>
            </w:pPr>
            <w:r>
              <w:rPr>
                <w:rFonts w:hint="eastAsia" w:ascii="宋体" w:hAnsi="宋体"/>
                <w:color w:val="000000"/>
                <w:sz w:val="28"/>
                <w:szCs w:val="28"/>
              </w:rPr>
              <w:t>《什么是习近平眼中“最大</w:t>
            </w:r>
          </w:p>
          <w:p>
            <w:pPr>
              <w:snapToGrid w:val="0"/>
              <w:jc w:val="both"/>
              <w:rPr>
                <w:rFonts w:ascii="宋体" w:hAnsi="宋体"/>
                <w:color w:val="000000"/>
                <w:sz w:val="28"/>
                <w:szCs w:val="28"/>
              </w:rPr>
            </w:pPr>
            <w:r>
              <w:rPr>
                <w:rFonts w:hint="eastAsia" w:ascii="宋体" w:hAnsi="宋体"/>
                <w:color w:val="000000"/>
                <w:sz w:val="28"/>
                <w:szCs w:val="28"/>
              </w:rPr>
              <w:t>的人权”？》</w:t>
            </w:r>
          </w:p>
        </w:tc>
        <w:tc>
          <w:tcPr>
            <w:tcW w:w="849" w:type="dxa"/>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1379</w:t>
            </w:r>
          </w:p>
        </w:tc>
        <w:tc>
          <w:tcPr>
            <w:tcW w:w="1584" w:type="dxa"/>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2022．05．26</w:t>
            </w:r>
          </w:p>
        </w:tc>
        <w:tc>
          <w:tcPr>
            <w:tcW w:w="966" w:type="dxa"/>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7</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8"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8</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hint="default" w:ascii="宋体" w:hAnsi="宋体" w:eastAsia="仿宋_GB2312"/>
                <w:color w:val="000000"/>
                <w:sz w:val="28"/>
                <w:szCs w:val="28"/>
                <w:lang w:val="en-US" w:eastAsia="zh-CN"/>
              </w:rPr>
            </w:pPr>
            <w:r>
              <w:rPr>
                <w:rFonts w:hint="eastAsia" w:ascii="宋体" w:hAnsi="宋体"/>
                <w:color w:val="000000"/>
                <w:sz w:val="28"/>
                <w:szCs w:val="28"/>
                <w:lang w:val="en-US" w:eastAsia="zh-CN"/>
              </w:rPr>
              <w:t>9</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jc w:val="center"/>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hint="default" w:ascii="宋体" w:hAnsi="宋体" w:eastAsia="仿宋_GB2312"/>
                <w:color w:val="000000"/>
                <w:sz w:val="28"/>
                <w:szCs w:val="28"/>
                <w:lang w:val="en-US" w:eastAsia="zh-CN"/>
              </w:rPr>
            </w:pPr>
            <w:r>
              <w:rPr>
                <w:rFonts w:hint="eastAsia" w:ascii="宋体" w:hAnsi="宋体"/>
                <w:color w:val="000000"/>
                <w:sz w:val="28"/>
                <w:szCs w:val="28"/>
                <w:lang w:val="en-US" w:eastAsia="zh-CN"/>
              </w:rPr>
              <w:t>10</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jc w:val="center"/>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bl>
    <w:p>
      <w:pPr>
        <w:rPr>
          <w:rFonts w:hint="eastAsia"/>
          <w:b/>
          <w:szCs w:val="32"/>
        </w:rPr>
      </w:pPr>
    </w:p>
    <w:p>
      <w:pPr>
        <w:rPr>
          <w:rFonts w:hint="eastAsia"/>
          <w:b/>
          <w:szCs w:val="32"/>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代表作1：</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jc w:val="center"/>
        <w:textAlignment w:val="auto"/>
        <w:rPr>
          <w:rFonts w:hint="eastAsia" w:ascii="华文中宋" w:hAnsi="华文中宋" w:eastAsia="华文中宋" w:cs="华文中宋"/>
          <w:b/>
          <w:bCs w:val="0"/>
          <w:color w:val="000000" w:themeColor="text1"/>
          <w:sz w:val="28"/>
          <w:szCs w:val="28"/>
          <w14:textFill>
            <w14:solidFill>
              <w14:schemeClr w14:val="tx1"/>
            </w14:solidFill>
          </w14:textFill>
        </w:rPr>
      </w:pPr>
      <w:r>
        <w:rPr>
          <w:rFonts w:hint="eastAsia" w:ascii="华文中宋" w:hAnsi="华文中宋" w:eastAsia="华文中宋" w:cs="华文中宋"/>
          <w:b/>
          <w:bCs w:val="0"/>
          <w:color w:val="000000" w:themeColor="text1"/>
          <w:sz w:val="28"/>
          <w:szCs w:val="28"/>
          <w14:textFill>
            <w14:solidFill>
              <w14:schemeClr w14:val="tx1"/>
            </w14:solidFill>
          </w14:textFill>
        </w:rPr>
        <w:t>胜雅律：如何增进中西方人权观沟通交流？</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中新社布鲁塞尔5月20日电　题：如何增进中西方人权观沟通交流？</w:t>
      </w:r>
    </w:p>
    <w:p>
      <w:pPr>
        <w:keepNext w:val="0"/>
        <w:keepLines w:val="0"/>
        <w:pageBreakBefore w:val="0"/>
        <w:widowControl w:val="0"/>
        <w:kinsoku/>
        <w:wordWrap/>
        <w:overflowPunct/>
        <w:topLinePunct w:val="0"/>
        <w:autoSpaceDE/>
        <w:autoSpaceDN/>
        <w:bidi w:val="0"/>
        <w:adjustRightInd/>
        <w:snapToGrid/>
        <w:spacing w:line="360" w:lineRule="exact"/>
        <w:ind w:firstLine="600"/>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作者 胜雅律（瑞士法学家，德国弗赖堡大学汉学专业终身教授）</w:t>
      </w:r>
    </w:p>
    <w:p>
      <w:pPr>
        <w:keepNext w:val="0"/>
        <w:keepLines w:val="0"/>
        <w:pageBreakBefore w:val="0"/>
        <w:widowControl w:val="0"/>
        <w:kinsoku/>
        <w:wordWrap/>
        <w:overflowPunct/>
        <w:topLinePunct w:val="0"/>
        <w:autoSpaceDE/>
        <w:autoSpaceDN/>
        <w:bidi w:val="0"/>
        <w:adjustRightInd/>
        <w:snapToGrid/>
        <w:spacing w:line="360" w:lineRule="exact"/>
        <w:ind w:firstLine="210" w:firstLineChars="100"/>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xml:space="preserve">  中国40多年来在人权领域的进步值得肯定。1978年中国改革开放前，人权被贴上“资产阶级阴谋”的标签并被拒绝承认。很长一段时间，中国只有北京大学和吉林大学保留了法律系，而北大法律系的规模全校排名倒数第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1978年后中国恢复了律师制度，1996年“无罪推定原则”被引入中国刑事诉讼法，2004年中国宪法第三十三条增加“国家尊重和保障人权”一款，现在法学院在中国遍地开花，情况发生了根本变化。</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两千多年前，中国已有哲人说“仓廪实而知礼节”，德国著名戏剧家、马克思主义者布莱希特也有句名言“先吃饱再讲道德”。中国信仰马克思主义，将重点放在经济发展和经济人权不意外。2001年3月，中国批准《经济、社会及文化权利国际公约》，很好说明了中国人权观的侧重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发展权和经济、社会、文化权利非常重要，仅围绕某些个人人权的人权观相当狭窄。例如，2021年3月瑞士发布《中国战略》文件，表示几十年来中国“亿万人民脱贫”，为“全球减贫作出重大贡献”，但文件仅仅把这些成就视为经济成就，避而不谈这些成就也是人权成就，即经济人权成就。</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瑞士《中国战略》文件又指，中国“一带一路”倡议是“面向全球的发展模式”，旨在加快中国西部贫困省份的发展，在第三国兴建交通、能源、通信等基础设施，加强亚洲与欧洲、非洲的互联互通。既然“一带一路”倡议着眼于推动中国和其他参与国家的经济发展，那么应该被视为旨在推动经济人权和发展权的“全球人权项目”。</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在瑞士，很多党派和政治家都强调解决难民问题的必要性，由于多数前往欧洲的难民是“经济移民”，在非洲和其他国家推动实现经济人权是有道理的。如果瑞士参与“一带一路”倡议以应对“经济移民”问题，那么这种参与符合瑞士联邦宪法，因为宪法规定“联邦应致力减轻世界的苦难和贫困，促进尊重人权”。请注意：瑞士联邦宪法先提到“联邦应致力减轻世界的苦难和贫困”，然后才提到“促进尊重人权”。可见前者即实现经济人权是首要关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中西方人权观的沟通交流，基于中西方在很多人权议题上的共识，且共识远大于分歧。例如，2006年至2009年，瑞士和中国同为联合国人权理事会成员。在此期间，联合国人权理事会通过286项决议，其中209项决议未经表决获一致通过，可见瑞士和中国对很多人权议题的看法类似。</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瑞中在人权议题上的共识是长期的。2018年，同为联合国人权理事会成员，两国都同意有关“恐怖主义与人权”“通过体育和奥林匹克理想促进人权”“人权与环境”“在所有国家实现经济、社会、文化权利”等决议，另有一项关于食物权的决议几乎获一致通过，只有美国投了反对票。这意味着在以上方面，当时瑞士和中国站在一起。</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今年2月28日至4月1日，联合国人权理事会第49届会议在日内瓦举行。会上相当多的决议也是未经表决获一致通过。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但无论是瑞士媒体还是瑞士官员，讨论人权时只字不提瑞中在很多议题上看法类似，其他西方国家也是如此。在联合国人权理事会内部，西方国家经常投票支持有关经济人权和发展权的决议，可谓是“公开的秘密”，他们却不告诉自己的国民，致使西方普通民众根本不知道联合国人权理事会的具体动向。</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为增进中西方人权观的沟通交流，建议每届联合国人权理事会会议闭幕后，中国用英语、法语、德语等语种发布一份全面的会议报告，尤其要列出决议名称和西方国家的投票情况，让大家看看西方国家对很多决议的态度其实和中国一致。这是中国应该做的事，因为西方国家肯定不愿意做。</w:t>
      </w:r>
    </w:p>
    <w:p>
      <w:pPr>
        <w:keepNext w:val="0"/>
        <w:keepLines w:val="0"/>
        <w:pageBreakBefore w:val="0"/>
        <w:widowControl w:val="0"/>
        <w:kinsoku/>
        <w:wordWrap/>
        <w:overflowPunct/>
        <w:topLinePunct w:val="0"/>
        <w:autoSpaceDE/>
        <w:autoSpaceDN/>
        <w:bidi w:val="0"/>
        <w:adjustRightInd/>
        <w:snapToGrid/>
        <w:spacing w:line="360" w:lineRule="exact"/>
        <w:ind w:firstLine="600"/>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当然，一些有争议的决议可能会让包括瑞士在内的西方国家“出洋相”，如2017年6月，联合国人权理事会通过“促进享有和平权”决议，中国等发展中国家投票支持，美国等西方国家投票反对，瑞士弃权。如果美国和瑞士民众得知自己的国家不支持“和平权”，肯定会非常惊讶，很可能会把注意力从中国转到本国，从“小人求诸人”变为“君子求诸己”。（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代表作2：</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jc w:val="center"/>
        <w:textAlignment w:val="auto"/>
        <w:rPr>
          <w:rFonts w:hint="eastAsia" w:ascii="华文中宋" w:hAnsi="华文中宋" w:eastAsia="华文中宋" w:cs="华文中宋"/>
          <w:b/>
          <w:bCs w:val="0"/>
          <w:color w:val="000000" w:themeColor="text1"/>
          <w:sz w:val="28"/>
          <w:szCs w:val="28"/>
          <w14:textFill>
            <w14:solidFill>
              <w14:schemeClr w14:val="tx1"/>
            </w14:solidFill>
          </w14:textFill>
        </w:rPr>
      </w:pPr>
      <w:r>
        <w:rPr>
          <w:rFonts w:hint="eastAsia" w:ascii="华文中宋" w:hAnsi="华文中宋" w:eastAsia="华文中宋" w:cs="华文中宋"/>
          <w:b/>
          <w:bCs w:val="0"/>
          <w:color w:val="000000" w:themeColor="text1"/>
          <w:sz w:val="28"/>
          <w:szCs w:val="28"/>
          <w14:textFill>
            <w14:solidFill>
              <w14:schemeClr w14:val="tx1"/>
            </w14:solidFill>
          </w14:textFill>
        </w:rPr>
        <w:t>罗思义：为何应区分“人权”的真问题与假概念？</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中新社北京5月23日电 题：为何应区分“人权”的真问题与假概念？</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作者 罗思义(John Ross)英国伦敦市经济与商业政策署前署长、中国人民大学重阳金融研究院高级研究员</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采用“人权”这一框架来讨论人类发展问题，实为正确之举，但须以名副其实的人权概念为前提。在关于人权的讨论中，设定一个正确的人权讨论框架至关重要——因为它能解释清楚为什么中国的社会主义框架是正确的，而美国的框架和“自由民主”整体上又空又假。</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因此，我想就以下两个问题谈谈看法：第一，在人类现实生活中，为什么说中国的人权与民主立场优于美国？第二，中美两国在人权方面有哪些实际差异？</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中国政府在制定各项政策时采用了非常务实的人权概念，坚持从人类的实际生活出发，重视人们的各种需求，既涵盖最基本的粮食、住房、健康等需求，也包括人类教育、科学和文化等复杂的需求。也就是说，它涉及到人类现实生活中各个方面的真正权利。</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相反，美国的“人权”概念纯粹是人造出来的，实际而言不存在。通过举一些实例，就能轻易表明这点。</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先以中国妇女和印度妇女的地位举例，这涉及到世界上大约五分之一的人口。印度女性预期寿命为71岁，中国女性为79.2岁，也就是说中国女性寿命比印度女性长8年。中国女性识字率为95%，印度女性则为65%。印度妇女死于分娩的风险是中国妇女的8倍。可以说，在现实世界中，中国妇女的人权远远超越印度妇女。</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但美国依据自身的“民主”理念荒谬地宣称，印度妇女的人权远优于中国妇女，因为其生活在“议会制共和制”国家。显然，这个错误的概念，导致了如此可笑的结论。</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再以新冠肺炎为例。目前中国死于新冠肺炎的人数为5000多人，美国已有100多万人死于新冠肺炎，而中国总人口是美国的四倍。显然，在应对新冠肺炎方面，中国的人权记录远优于美国。毕竟，生命权是所有人权中最基本的权利。</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如果追溯社会主义的起源，就特别能看清楚人权方面的根本问题。正是为了批判错误的资本主义人权概念，才有了社会主义。澄清这些根本问题对国际社会的讨论至关重要。</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马克思对这些根本问题做出了最为透彻的分析，为处理人权相关的所有关键问题提供了参照标准。马克思在其名著《论犹太人问题》中概述了人权问题的真伪立场。</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马克思本人将犹太人在德国的地位作为特定研究对象，因为这是当时非常紧迫的政治问题。马克思分析了在自由民主制国家和议会民主制国家，纯粹“官方”或“形式上”的人权主张与真实人权状况之间的差距。更确切地说，他指出，德国只是取消了对犹太人形式上和法律上的限制，这并没有为犹太人带来真正的平等，也没有让他们实现真正意义上的人权。正是这一分析和前述中国女性与印度女性在真正人权方面的差异有着紧密联系。</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马克思证明了所谓的“政治解放”和真正的“人类解放”之间的区别，也就是政治中形式上的平等和权利，与现实中根本上的不平等和权利缺失之间的区别。马克思的经典论述阐明了西方人权概念的虚伪性和中国人权概念的正确性。</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正如马克思就美国等自由民主制国家的人权理论指出，“国家以自己的方式废除出身、社会等级、教育、职业的差别，当它宣布出身、社会等级、教育、职业是非政治性的差别时，当它不顾这些差别而宣布，每个国家的成员都是国家主权的平等参与者”。但实际上，人与人的真正差别并未消除，他们作为人享有的真正权利，他们真正意义上的“人权”并没有得到捍卫。正如他所写：“尽管如此，国家还是让私有财产、文化程度、职业以它们固有的方式，即作为私有财产、作为文化程度、作为职业来发挥作用并表现出它们的特殊本质。国家根本没有废除这些实际差别，相反，只有以这些差别为前提，国家才会存在。”</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除了马克思列举的这些真正的人权之外，我们当然还可以加上健康权、真正的男女平等、消除种族主义等许多其他权利。所有这些都构成了真正意义上的人权。</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因此，马克思证明了自由民主制的神话与人类的现实生活之间完全不同，即真正的人权与仅仅形式上的，也就是错误的人权概念之间的不同。他在一段经典论述中，对此进行了鞭辟入里的分析：“在政治国家真正形成的地方，人不仅在思想中，在意识中，而且在现实中，在生活中，都过着双重的生活——天国的生活和尘世的生活。前一种是政治共同体中的生活，在这个共同体中，人把自己看作集体存在；后一种是市民社会中的生活。”他继续写道，“在国家中……人是主权想象中的虚构成员；在这里，他被剥夺了自己现实的个人生活，并被赋予了非现实的普遍性。”</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因此，马克思指出，德国犹太人纯粹形式上的法律平等掩盖了真实存在的不平等和真正人权的缺失。自由民主制和议会民主制以狭隘的主观意志和流于形式的方式来定义“人权”，而忽视了真实存在的不平等和歧视，掩盖了真相。</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德国犹太人的真实处境终结于人类历史上最罄竹难书的罪行之一——德国的反犹主义发展为纳粹大屠杀。</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这一对犹太人在德国地位的分析，为各领域的真实人权状况提供了一个分析模式。中印女性地位的差异或中美新冠肺炎死亡人数的差异恰恰印证了这一分析模式。这就是中国所说的真正人权与纯粹形式上的人权之间的区别。</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美国声称，由于议会民主制的存在，印度女性比中国女性享有更好的人权。这恰恰证明了马克思所说的“天国的”权利(即不存在的权利)和“尘世的生活”(即真实生活)间的区别。显然，中国女性享有的真正人权远远优于印度女性，因为那是她真实的“尘世生活”。但西方的“人权”理论却荒唐地宣称，印度女性享有的人权优于中国女性，因为她们在议会民主制国家中享受着纯粹形式上的平等，过着“天堂般的生活”。但实际上，这种平等并不存在。</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在美国，无论是自由民主制还是人权理论，一切都是颠倒的。他们将次要的、形式上的且实际上并不存在的平等视为至宝，却认为“尘世生活”(即现实生活)没那么重要，正如他们无视中印女性在现实生活中的差异一样。</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社会主义和中国人权的发展使一切走上了正轨。中国政府认为，中国女性的寿命应该不断延长，女性应该识字，应该大大降低女性死于分娩的风险，这些才是最重要的事情。这才是严格意义上实用和实际的“人权”概念。</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中国将这一原则推广到了社会的各方面。根据国际标准定义的贫困线，中国已使8.5亿人摆脱了贫困，占全球减贫人口的70%以上。</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1949年，中国几乎是世界上最贫穷的国家。但按照世界银行的标准，中国在近两三年已跻身“高收入”经济体行列了。</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在人类的“尘世生活”中，中国为人类历史上最多的人口最大程度地改善了生活条件。</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也就是说，中国的人权制度是由实际成果，即人民实际生活的改善来决定的，而不是由形式上的、人为的，因而也是误导性的和错误的标准来决定的。</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自1949年以来，中国在改善人民实际生活方面取得的成就，是人类历史上可以比较的时期内最伟大的成就。这些成就完全符合人类改善现实生活的需求，而那些与之截然相反的、并不存在的“天国的生活”只是美国制度下自由资本主义民主制所提出的错误意识形态主张。</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世界各国民众越了解中国的非凡成就，就越希望自己国家的人权状况得到同样程度的改善。如此一来，各国民众对中国的态度就会更加正面。</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马克思破除了自由民主制的神话，其思想指引我们理解真正的人权和错误的“人权”概念之间的区别，且能为发展真正的人权提供最佳依据，证明当前针对中国人民和人类真正利益的意识形态攻击的谬误性。(完)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代表作3：</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jc w:val="center"/>
        <w:textAlignment w:val="auto"/>
        <w:rPr>
          <w:rFonts w:hint="eastAsia" w:ascii="华文中宋" w:hAnsi="华文中宋" w:eastAsia="华文中宋" w:cs="华文中宋"/>
          <w:b/>
          <w:bCs w:val="0"/>
          <w:color w:val="000000" w:themeColor="text1"/>
          <w:sz w:val="28"/>
          <w:szCs w:val="28"/>
          <w14:textFill>
            <w14:solidFill>
              <w14:schemeClr w14:val="tx1"/>
            </w14:solidFill>
          </w14:textFill>
        </w:rPr>
      </w:pPr>
      <w:r>
        <w:rPr>
          <w:rFonts w:hint="eastAsia" w:ascii="华文中宋" w:hAnsi="华文中宋" w:eastAsia="华文中宋" w:cs="华文中宋"/>
          <w:b/>
          <w:bCs w:val="0"/>
          <w:color w:val="000000" w:themeColor="text1"/>
          <w:sz w:val="28"/>
          <w:szCs w:val="28"/>
          <w14:textFill>
            <w14:solidFill>
              <w14:schemeClr w14:val="tx1"/>
            </w14:solidFill>
          </w14:textFill>
        </w:rPr>
        <w:t>张永和：人权是一个开放的概念</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中新社北京5月24日电 题：人权是一个开放的概念</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作者 张永和 西南政法大学人权研究院执行院长、教授</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人权概念源自西方，其最早的理论框架是由资产阶级在资本主义上升时期建立。它是时代的产物，以绝对的个人主义为出发点，并将人权概念理解为“公民权利和政治权利”。这种狭隘的理解与西方人权观念的产生有关。比如，被视作“第一部人权文件”的英国《大宪章》，又名“贵族纲领”，这是一份宪法性文件，是英国25位庄园领主因害怕自己的权利受到国王侵犯而提出的请求。被称为“第一个人权宣言”的美国《独立宣言》，全文没有任何关于黑人和印第安人人权的文字。可以说，这种人权理解体现出的是阶级性特征，这是西方政治哲学和司法实践的根本特质。正因于此，马克思主义不仅对资产阶级人权持批判态度，更是对资产阶级法律毫不隐晦地保护这种“阶级人权”进行批判。</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中共中央政治局在今年2月25日就中国人权发展道路进行第三十七次集体学习。中共中央总书记习近平在学习中指出，“人权是历史的、具体的、现实的，不能脱离不同国家的社会政治条件和历史文化传统空谈人权。”这是对人权文明发展逻辑的最好阐释。</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人权作为舶来品，中国人民对它的认知和把握经历了艰难曲折的过程。不过，中国共产党通过把马克思主义人权观同中国具体实际相结合、同中华优秀传统文化相结合，总结出了尊重和保障人权的成功经验。中国人权走出的是一条适合本国国情、顺应时代潮流、借鉴世界文明成果、坚持“生存权、发展权是首要的基本人权”、坚持各项权利均衡发展的道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需要注意的是，如果把人作为“类”存在，中西方人权使用的是共同的权利概念。站在自我关怀的角度而言，中西方的人权观念并没有本质区别。</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但非常遗憾的是，在人权实践中，中西方人权观念存在差异。西方主流人权理论认为人权是“消极权利”的公民权利和政治权利，这是资本主义制度内在逻辑所决定的。这样的人权观存在天生缺陷。中国则认为，公民权利和政治权利是非常重要的人权，经济社会文化权利也同样重要。没有一定的经济社会文化基础，其他的权利都会一风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设想一下，如果在伦敦郊区兰尼米德与国王约翰签署《大宪章》的不是领主，而是在领地里的农奴，那么《大宪章》的内容一定不是今天人们所看到的那样；如果主持《独立宣言》的不是包括华盛顿在内的农场主，而是农场中的奴隶，那么美国《独立宣言》将是另外一番修辞。</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中国没有像西方那样存在伴随殖民主义的资本主义时期，中国人权发展道路最显著的特征是人民性。习近平强调：“以人民为中心”“江山就是人民，人民就是江山”，体现出中国人权理念中的人民性本质。人民性是中国人权理论最具标识的精神内核。人民性是为保障人民的主体地位和人民能否真正当家作主而提出的。近年来，中国提出理论创新“全过程人民民主”，形成了可触摸的广泛充分、真实具体和有效管用的政治权利，说明了中国人权理念的人民性不是空泛的、玄虚的概念。</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人民性还有一则重要内容是人民是否真正过上了幸福生活。在中国，要让人民过上幸福生活，首先解决的是贫困问题，特别是“绝对贫困问题”。从目前来看，中国人权事业进步的最大意义就是全面建成了小康社会，使人权事业惠及每个中国人。</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生存权和发展权是其他权利的基础。作为发展中大国，中国的人权问题需要逐步予以解决。在经过一次次对人权的探索和失败后，中国发现只有把人权的普遍性原则与中国国情相结合，借鉴人类优秀文明成果，才是中国人权事业发展的正道。没有生存权和发展权，其他的权利都是无本之木。所以，中国确定“生存权、发展权是首要的基本人权”之后，中国政府通过脚踏实地地减贫、脱贫，从“小康之家”到“小康社会”，从“总体小康”到“全面小康”，从“全面建设小康社会”到“全面建成小康社会”，实现了人民幸福生活的战略目标，全面彻底地改变了中国人的生存状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中国人权的理论和实践，就是将人权的普遍性原则与中国实际相结合，它与西方以个人自由主义为核心的人权理论不同，更是西方人权实践未曾面对的。中国人权事业走的是适合自己的人权发展道路，不以别国人权标准来衡量自己。其实，任何国家的人权事业也都只有靠自己建设，才能走出适合自身的人权之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　　1948年，联合国大会通过第217A(III)号决议并颁布《世界人权宣言》，这是人权史上具有里程碑意义的文件，意味着人类共同拥有了第一面人权旗帜。1976年，《经济、社会及文化权利国际公约》和《公民权利和政治权利国际公约》(人权两公约)生效，使人类共同拥有了人权行动的基本准则，成为国际社会对世界人权事业认识的公约数。</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b/>
          <w:bCs w:val="0"/>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面对中西方人权观念的诸多差异，在相互沟通和交流中，西方一些政客应首先摒弃意识形态偏见，在联合国的框架下，形成公正、合理、包容的全球人权治理整体性方案，包括国际和平、安全、发展等，共守全人类共同价值观，在积极参与联合国人权事务中，形成平等互信、包容互鉴、合作共赢、共同发展的理念。建立公正合理、平等互利的国际政治经济新秩序。同各国特别是发展中国家广泛开展国际人权交流合作，发挥建设性作用。(完)</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645"/>
        <w:textAlignment w:val="auto"/>
        <w:rPr>
          <w:rFonts w:hint="eastAsia" w:ascii="宋体" w:hAnsi="宋体" w:eastAsia="宋体" w:cs="宋体"/>
          <w:b/>
          <w:bCs w:val="0"/>
          <w:sz w:val="21"/>
          <w:szCs w:val="21"/>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textAlignment w:val="auto"/>
        <w:rPr>
          <w:rFonts w:hint="eastAsia" w:ascii="宋体" w:hAnsi="宋体" w:eastAsia="宋体" w:cs="宋体"/>
          <w:b/>
          <w:bCs w:val="0"/>
          <w:sz w:val="21"/>
          <w:szCs w:val="21"/>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textAlignment w:val="auto"/>
        <w:rPr>
          <w:rFonts w:hint="eastAsia" w:ascii="宋体" w:hAnsi="宋体" w:eastAsia="宋体" w:cs="宋体"/>
          <w:b/>
          <w:bCs w:val="0"/>
          <w:sz w:val="21"/>
          <w:szCs w:val="21"/>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简体">
    <w:altName w:val="汉仪书宋二KW"/>
    <w:panose1 w:val="00000000000000000000"/>
    <w:charset w:val="86"/>
    <w:family w:val="script"/>
    <w:pitch w:val="default"/>
    <w:sig w:usb0="00000000" w:usb1="00000000" w:usb2="0000001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lMmVkMmQ4Y2E2YWZkYTQyZmEzMDkyY2E0ZTJkMzIifQ=="/>
  </w:docVars>
  <w:rsids>
    <w:rsidRoot w:val="00AD3E0B"/>
    <w:rsid w:val="001B4480"/>
    <w:rsid w:val="00285C7F"/>
    <w:rsid w:val="00357A80"/>
    <w:rsid w:val="003D124D"/>
    <w:rsid w:val="003F58A5"/>
    <w:rsid w:val="00400979"/>
    <w:rsid w:val="00693D6F"/>
    <w:rsid w:val="00730D8B"/>
    <w:rsid w:val="00741C24"/>
    <w:rsid w:val="00843267"/>
    <w:rsid w:val="008F3572"/>
    <w:rsid w:val="00992AFA"/>
    <w:rsid w:val="00A079F9"/>
    <w:rsid w:val="00A432F8"/>
    <w:rsid w:val="00A653D9"/>
    <w:rsid w:val="00A77D74"/>
    <w:rsid w:val="00AD3E0B"/>
    <w:rsid w:val="00B41C57"/>
    <w:rsid w:val="00B74D92"/>
    <w:rsid w:val="00BE4CF3"/>
    <w:rsid w:val="00BF5854"/>
    <w:rsid w:val="00D76107"/>
    <w:rsid w:val="00EF16EB"/>
    <w:rsid w:val="00F67475"/>
    <w:rsid w:val="00F95DD8"/>
    <w:rsid w:val="0E2758A8"/>
    <w:rsid w:val="126E0F4A"/>
    <w:rsid w:val="27CE55BE"/>
    <w:rsid w:val="3BA44DCB"/>
    <w:rsid w:val="403D506B"/>
    <w:rsid w:val="4746717D"/>
    <w:rsid w:val="52946D51"/>
    <w:rsid w:val="5D470C93"/>
    <w:rsid w:val="5F7F7B1F"/>
    <w:rsid w:val="5FF23595"/>
    <w:rsid w:val="7F9F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eastAsia="仿宋_GB2312"/>
      <w:sz w:val="18"/>
      <w:szCs w:val="18"/>
    </w:rPr>
  </w:style>
  <w:style w:type="character" w:customStyle="1" w:styleId="7">
    <w:name w:val="页脚 字符"/>
    <w:basedOn w:val="5"/>
    <w:link w:val="2"/>
    <w:qFormat/>
    <w:uiPriority w:val="99"/>
    <w:rPr>
      <w:rFonts w:eastAsia="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8144</Words>
  <Characters>8301</Characters>
  <Lines>13</Lines>
  <Paragraphs>3</Paragraphs>
  <TotalTime>60</TotalTime>
  <ScaleCrop>false</ScaleCrop>
  <LinksUpToDate>false</LinksUpToDate>
  <CharactersWithSpaces>8432</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2023-02-22T23:20:00Z</dcterms:created>
  <dc:creator>DELL</dc:creator>
  <cp:lastModifiedBy>regina</cp:lastModifiedBy>
  <cp:lastPrinted>2023-04-25T21:59:00Z</cp:lastPrinted>
  <dcterms:modified xsi:type="dcterms:W3CDTF">2023-07-24T18:31:55Z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A5B3B4DC902647D48E273265DCBDC33B_12</vt:lpwstr>
  </property>
</Properties>
</file>