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textAlignment w:val="auto"/>
        <w:rPr>
          <w:rFonts w:ascii="Times New Roman" w:hAnsi="Times New Roman"/>
        </w:rPr>
      </w:pPr>
    </w:p>
    <w:p>
      <w:pPr>
        <w:pageBreakBefore w:val="0"/>
        <w:widowControl w:val="0"/>
        <w:tabs>
          <w:tab w:val="left" w:pos="6219"/>
        </w:tabs>
        <w:kinsoku/>
        <w:wordWrap w:val="0"/>
        <w:overflowPunct/>
        <w:topLinePunct w:val="0"/>
        <w:autoSpaceDE w:val="0"/>
        <w:autoSpaceDN w:val="0"/>
        <w:bidi w:val="0"/>
        <w:adjustRightInd w:val="0"/>
        <w:snapToGrid w:val="0"/>
        <w:spacing w:line="360" w:lineRule="auto"/>
        <w:ind w:left="0" w:firstLineChars="0" w:firstLine="0"/>
        <w:jc w:val="left"/>
        <w:textAlignment w:val="auto"/>
        <w:rPr>
          <w:rFonts w:ascii="宋体" w:cs="宋体"/>
          <w:b/>
          <w:bCs/>
          <w:color w:val="auto"/>
          <w:kern w:val="0"/>
          <w:sz w:val="28"/>
          <w:szCs w:val="28"/>
          <w:highlight w:val="auto"/>
        </w:rPr>
      </w:pPr>
      <w:r>
        <w:rPr>
          <w:rFonts w:ascii="宋体" w:cs="宋体" w:hint="eastAsia"/>
          <w:b/>
          <w:bCs/>
          <w:color w:val="auto"/>
          <w:kern w:val="0"/>
          <w:sz w:val="28"/>
          <w:szCs w:val="28"/>
          <w:highlight w:val="auto"/>
        </w:rPr>
        <w:t>项目名称：</w:t>
      </w:r>
      <w:r>
        <w:rPr>
          <w:rFonts w:ascii="宋体" w:cs="宋体" w:hint="eastAsia"/>
          <w:b/>
          <w:bCs/>
          <w:color w:val="auto"/>
          <w:kern w:val="0"/>
          <w:sz w:val="28"/>
          <w:szCs w:val="28"/>
          <w:lang w:val="en-US" w:eastAsia="zh-CN"/>
          <w:highlight w:val="auto"/>
        </w:rPr>
        <w:t>黔江海关UPS电池更新及监控扩容升级项目</w:t>
      </w:r>
    </w:p>
    <w:p>
      <w:pPr>
        <w:pageBreakBefore w:val="0"/>
        <w:widowControl w:val="0"/>
        <w:tabs>
          <w:tab w:val="left" w:pos="6219"/>
        </w:tabs>
        <w:kinsoku/>
        <w:wordWrap w:val="0"/>
        <w:overflowPunct/>
        <w:topLinePunct w:val="0"/>
        <w:autoSpaceDE w:val="0"/>
        <w:autoSpaceDN w:val="0"/>
        <w:bidi w:val="0"/>
        <w:adjustRightInd w:val="0"/>
        <w:snapToGrid w:val="0"/>
        <w:spacing w:line="360" w:lineRule="auto"/>
        <w:ind w:left="0" w:firstLineChars="0" w:firstLine="0"/>
        <w:jc w:val="left"/>
        <w:textAlignment w:val="auto"/>
        <w:rPr>
          <w:rFonts w:ascii="宋体" w:eastAsia="宋体" w:cs="宋体"/>
          <w:b/>
          <w:bCs/>
          <w:color w:val="auto"/>
          <w:kern w:val="0"/>
          <w:sz w:val="28"/>
          <w:szCs w:val="28"/>
          <w:lang w:val="en-US" w:eastAsia="zh-CN"/>
          <w:highlight w:val="auto"/>
        </w:rPr>
      </w:pPr>
      <w:r>
        <w:rPr>
          <w:rFonts w:ascii="宋体" w:cs="宋体" w:hint="eastAsia"/>
          <w:b/>
          <w:bCs/>
          <w:color w:val="auto"/>
          <w:kern w:val="0"/>
          <w:sz w:val="28"/>
          <w:szCs w:val="28"/>
          <w:highlight w:val="auto"/>
        </w:rPr>
        <w:t>招标编号：</w:t>
      </w:r>
      <w:r>
        <w:rPr>
          <w:rFonts w:ascii="宋体" w:cs="宋体" w:hint="eastAsia"/>
          <w:b/>
          <w:bCs/>
          <w:color w:val="auto"/>
          <w:kern w:val="0"/>
          <w:sz w:val="28"/>
          <w:szCs w:val="28"/>
          <w:lang w:val="en-US" w:eastAsia="zh-CN"/>
          <w:highlight w:val="auto"/>
        </w:rPr>
        <w:t>2026-QJHG-CG-001</w:t>
      </w:r>
    </w:p>
    <w:p>
      <w:pPr>
        <w:keepNext w:val="0"/>
        <w:keepLines w:val="0"/>
        <w:pageBreakBefore w:val="0"/>
        <w:widowControl w:val="0"/>
        <w:kinsoku/>
        <w:wordWrap w:val="0"/>
        <w:overflowPunct/>
        <w:topLinePunct w:val="0"/>
        <w:autoSpaceDE/>
        <w:autoSpaceDN/>
        <w:bidi w:val="0"/>
        <w:adjustRightInd/>
        <w:snapToGrid/>
        <w:spacing w:line="720" w:lineRule="auto"/>
        <w:ind w:left="0" w:firstLineChars="0" w:firstLine="0"/>
        <w:jc w:val="both"/>
        <w:textAlignment w:val="auto"/>
        <w:rPr>
          <w:rFonts w:ascii="Times New Roman" w:hAnsi="Times New Roman"/>
          <w:b/>
          <w:bCs/>
          <w:sz w:val="84"/>
          <w:szCs w:val="84"/>
        </w:rPr>
      </w:pPr>
    </w:p>
    <w:p>
      <w:pPr>
        <w:pStyle w:val="15"/>
        <w:pageBreakBefore w:val="0"/>
        <w:widowControl w:val="0"/>
        <w:kinsoku/>
        <w:wordWrap w:val="0"/>
        <w:overflowPunct/>
        <w:topLinePunct w:val="0"/>
        <w:bidi w:val="0"/>
        <w:textAlignment w:val="auto"/>
      </w:pPr>
    </w:p>
    <w:p>
      <w:pPr>
        <w:keepNext w:val="0"/>
        <w:keepLines w:val="0"/>
        <w:pageBreakBefore w:val="0"/>
        <w:widowControl w:val="0"/>
        <w:kinsoku/>
        <w:wordWrap w:val="0"/>
        <w:overflowPunct/>
        <w:topLinePunct w:val="0"/>
        <w:autoSpaceDE/>
        <w:autoSpaceDN/>
        <w:bidi w:val="0"/>
        <w:adjustRightInd/>
        <w:snapToGrid/>
        <w:spacing w:line="720" w:lineRule="auto"/>
        <w:ind w:left="0" w:firstLineChars="0" w:firstLine="0"/>
        <w:jc w:val="center"/>
        <w:textAlignment w:val="auto"/>
        <w:rPr>
          <w:rFonts w:ascii="Times New Roman" w:hAnsi="Times New Roman"/>
          <w:b/>
          <w:bCs/>
        </w:rPr>
      </w:pPr>
      <w:r>
        <w:rPr>
          <w:rFonts w:ascii="Times New Roman" w:hAnsi="Times New Roman" w:hint="eastAsia"/>
          <w:b/>
          <w:bCs/>
          <w:sz w:val="84"/>
          <w:szCs w:val="84"/>
          <w:lang w:val="en-US" w:eastAsia="zh-CN"/>
        </w:rPr>
        <w:t>招 标 文 件</w:t>
      </w:r>
    </w:p>
    <w:p>
      <w:pPr>
        <w:pageBreakBefore w:val="0"/>
        <w:widowControl w:val="0"/>
        <w:kinsoku/>
        <w:wordWrap w:val="0"/>
        <w:overflowPunct/>
        <w:topLinePunct w:val="0"/>
        <w:bidi w:val="0"/>
        <w:textAlignment w:val="auto"/>
        <w:rPr>
          <w:rFonts w:ascii="Times New Roman" w:hAnsi="Times New Roman"/>
          <w:b/>
          <w:bCs/>
        </w:rPr>
      </w:pPr>
    </w:p>
    <w:p>
      <w:pPr>
        <w:pageBreakBefore w:val="0"/>
        <w:widowControl w:val="0"/>
        <w:kinsoku/>
        <w:wordWrap w:val="0"/>
        <w:overflowPunct/>
        <w:topLinePunct w:val="0"/>
        <w:bidi w:val="0"/>
        <w:textAlignment w:val="auto"/>
        <w:rPr>
          <w:rFonts w:ascii="Times New Roman" w:hAnsi="Times New Roman"/>
          <w:b/>
          <w:bCs/>
        </w:rPr>
      </w:pPr>
    </w:p>
    <w:p>
      <w:pPr>
        <w:pageBreakBefore w:val="0"/>
        <w:widowControl w:val="0"/>
        <w:kinsoku/>
        <w:wordWrap w:val="0"/>
        <w:overflowPunct/>
        <w:topLinePunct w:val="0"/>
        <w:bidi w:val="0"/>
        <w:textAlignment w:val="auto"/>
        <w:rPr>
          <w:rFonts w:ascii="Times New Roman" w:hAnsi="Times New Roman"/>
          <w:b/>
          <w:bCs/>
        </w:rPr>
      </w:pPr>
    </w:p>
    <w:p>
      <w:pPr>
        <w:pageBreakBefore w:val="0"/>
        <w:widowControl w:val="0"/>
        <w:kinsoku/>
        <w:wordWrap w:val="0"/>
        <w:overflowPunct/>
        <w:topLinePunct w:val="0"/>
        <w:bidi w:val="0"/>
        <w:textAlignment w:val="auto"/>
        <w:rPr>
          <w:rFonts w:ascii="Times New Roman" w:hAnsi="Times New Roman"/>
          <w:b/>
          <w:bCs/>
        </w:rPr>
      </w:pPr>
    </w:p>
    <w:p>
      <w:pPr>
        <w:pageBreakBefore w:val="0"/>
        <w:widowControl w:val="0"/>
        <w:kinsoku/>
        <w:wordWrap w:val="0"/>
        <w:overflowPunct/>
        <w:topLinePunct w:val="0"/>
        <w:bidi w:val="0"/>
        <w:textAlignment w:val="auto"/>
        <w:rPr>
          <w:rFonts w:ascii="Times New Roman" w:hAnsi="Times New Roman"/>
          <w:b/>
          <w:bCs/>
        </w:rPr>
      </w:pPr>
    </w:p>
    <w:p>
      <w:pPr>
        <w:pageBreakBefore w:val="0"/>
        <w:widowControl w:val="0"/>
        <w:kinsoku/>
        <w:wordWrap w:val="0"/>
        <w:overflowPunct/>
        <w:topLinePunct w:val="0"/>
        <w:bidi w:val="0"/>
        <w:textAlignment w:val="auto"/>
        <w:rPr>
          <w:rFonts w:ascii="Times New Roman" w:hAnsi="Times New Roman" w:hint="eastAsia"/>
          <w:b/>
          <w:bCs/>
        </w:rPr>
      </w:pPr>
    </w:p>
    <w:p>
      <w:pPr>
        <w:pageBreakBefore w:val="0"/>
        <w:widowControl w:val="0"/>
        <w:kinsoku/>
        <w:wordWrap w:val="0"/>
        <w:overflowPunct/>
        <w:topLinePunct w:val="0"/>
        <w:bidi w:val="0"/>
        <w:textAlignment w:val="auto"/>
        <w:rPr>
          <w:rFonts w:ascii="Times New Roman" w:hAnsi="Times New Roman" w:hint="eastAsia"/>
          <w:b/>
          <w:bCs/>
        </w:rPr>
      </w:pPr>
    </w:p>
    <w:p>
      <w:pPr>
        <w:pStyle w:val="15"/>
        <w:pageBreakBefore w:val="0"/>
        <w:widowControl w:val="0"/>
        <w:kinsoku/>
        <w:wordWrap w:val="0"/>
        <w:overflowPunct/>
        <w:topLinePunct w:val="0"/>
        <w:bidi w:val="0"/>
        <w:textAlignment w:val="auto"/>
        <w:rPr>
          <w:rFonts w:hint="eastAsia"/>
        </w:rPr>
      </w:pPr>
    </w:p>
    <w:p>
      <w:pPr>
        <w:pageBreakBefore w:val="0"/>
        <w:widowControl w:val="0"/>
        <w:tabs>
          <w:tab w:val="left" w:pos="6219"/>
        </w:tabs>
        <w:kinsoku/>
        <w:wordWrap w:val="0"/>
        <w:overflowPunct/>
        <w:topLinePunct w:val="0"/>
        <w:autoSpaceDE w:val="0"/>
        <w:autoSpaceDN w:val="0"/>
        <w:bidi w:val="0"/>
        <w:adjustRightInd w:val="0"/>
        <w:snapToGrid w:val="0"/>
        <w:spacing w:line="360" w:lineRule="auto"/>
        <w:ind w:left="0" w:firstLineChars="0" w:firstLine="0"/>
        <w:jc w:val="center"/>
        <w:textAlignment w:val="auto"/>
        <w:rPr>
          <w:rFonts w:ascii="宋体" w:cs="宋体"/>
          <w:b/>
          <w:bCs/>
          <w:color w:val="auto"/>
          <w:kern w:val="0"/>
          <w:sz w:val="28"/>
          <w:szCs w:val="28"/>
          <w:highlight w:val="auto"/>
        </w:rPr>
      </w:pPr>
      <w:r>
        <w:rPr>
          <w:rFonts w:ascii="宋体" w:cs="宋体" w:hint="eastAsia"/>
          <w:b/>
          <w:bCs/>
          <w:color w:val="auto"/>
          <w:spacing w:val="8"/>
          <w:kern w:val="0"/>
          <w:sz w:val="28"/>
          <w:szCs w:val="28"/>
          <w:highlight w:val="auto"/>
        </w:rPr>
        <w:t>招   标   人：</w:t>
      </w:r>
      <w:r>
        <w:rPr>
          <w:rFonts w:ascii="宋体" w:cs="宋体" w:hint="eastAsia"/>
          <w:b/>
          <w:bCs/>
          <w:color w:val="auto"/>
          <w:sz w:val="28"/>
          <w:szCs w:val="28"/>
          <w:u w:val="single"/>
          <w:lang w:eastAsia="zh-CN"/>
          <w:highlight w:val="auto"/>
        </w:rPr>
        <w:t>中华人民共和国黔江海关</w:t>
      </w:r>
      <w:r>
        <w:rPr>
          <w:rFonts w:ascii="宋体" w:cs="宋体" w:hint="eastAsia"/>
          <w:b/>
          <w:bCs/>
          <w:color w:val="auto"/>
          <w:kern w:val="0"/>
          <w:sz w:val="28"/>
          <w:szCs w:val="28"/>
          <w:highlight w:val="auto"/>
        </w:rPr>
        <w:t>（盖章）</w:t>
      </w:r>
    </w:p>
    <w:p>
      <w:pPr>
        <w:pageBreakBefore w:val="0"/>
        <w:widowControl w:val="0"/>
        <w:kinsoku/>
        <w:wordWrap w:val="0"/>
        <w:overflowPunct/>
        <w:topLinePunct w:val="0"/>
        <w:autoSpaceDE w:val="0"/>
        <w:autoSpaceDN w:val="0"/>
        <w:bidi w:val="0"/>
        <w:adjustRightInd w:val="0"/>
        <w:snapToGrid w:val="0"/>
        <w:spacing w:line="360" w:lineRule="auto"/>
        <w:jc w:val="center"/>
        <w:textAlignment w:val="auto"/>
        <w:rPr>
          <w:rFonts w:ascii="宋体" w:cs="宋体"/>
          <w:b/>
          <w:bCs/>
          <w:color w:val="auto"/>
          <w:sz w:val="28"/>
          <w:szCs w:val="28"/>
          <w:highlight w:val="auto"/>
        </w:rPr>
      </w:pPr>
    </w:p>
    <w:p>
      <w:pPr>
        <w:pageBreakBefore w:val="0"/>
        <w:widowControl w:val="0"/>
        <w:kinsoku/>
        <w:wordWrap w:val="0"/>
        <w:overflowPunct/>
        <w:topLinePunct w:val="0"/>
        <w:autoSpaceDE w:val="0"/>
        <w:autoSpaceDN w:val="0"/>
        <w:bidi w:val="0"/>
        <w:adjustRightInd w:val="0"/>
        <w:snapToGrid w:val="0"/>
        <w:spacing w:line="360" w:lineRule="auto"/>
        <w:ind w:left="0" w:firstLineChars="0" w:firstLine="0"/>
        <w:jc w:val="center"/>
        <w:textAlignment w:val="auto"/>
        <w:rPr>
          <w:rFonts w:ascii="宋体" w:cs="宋体"/>
          <w:b/>
          <w:bCs/>
          <w:color w:val="auto"/>
          <w:sz w:val="28"/>
          <w:szCs w:val="28"/>
          <w:highlight w:val="auto"/>
        </w:rPr>
      </w:pPr>
      <w:r>
        <w:rPr>
          <w:rFonts w:ascii="宋体" w:cs="宋体" w:hint="eastAsia"/>
          <w:b/>
          <w:bCs/>
          <w:color w:val="auto"/>
          <w:sz w:val="28"/>
          <w:szCs w:val="28"/>
          <w:highlight w:val="auto"/>
        </w:rPr>
        <w:t>二〇二</w:t>
      </w:r>
      <w:r>
        <w:rPr>
          <w:rFonts w:ascii="宋体" w:cs="宋体" w:hint="eastAsia"/>
          <w:b/>
          <w:bCs/>
          <w:color w:val="auto"/>
          <w:sz w:val="28"/>
          <w:szCs w:val="28"/>
          <w:lang w:val="en-US" w:eastAsia="zh-CN"/>
          <w:highlight w:val="auto"/>
        </w:rPr>
        <w:t>六</w:t>
      </w:r>
      <w:r>
        <w:rPr>
          <w:rFonts w:ascii="宋体" w:cs="宋体" w:hint="eastAsia"/>
          <w:b/>
          <w:bCs/>
          <w:color w:val="auto"/>
          <w:sz w:val="28"/>
          <w:szCs w:val="28"/>
          <w:highlight w:val="auto"/>
        </w:rPr>
        <w:t>年</w:t>
      </w:r>
      <w:r>
        <w:rPr>
          <w:rFonts w:ascii="宋体" w:cs="宋体" w:hint="eastAsia"/>
          <w:b/>
          <w:bCs/>
          <w:color w:val="auto"/>
          <w:sz w:val="28"/>
          <w:szCs w:val="28"/>
          <w:lang w:val="en-US" w:eastAsia="zh-CN"/>
          <w:highlight w:val="auto"/>
        </w:rPr>
        <w:t>六</w:t>
      </w:r>
      <w:r>
        <w:rPr>
          <w:rFonts w:ascii="宋体" w:cs="宋体" w:hint="eastAsia"/>
          <w:b/>
          <w:bCs/>
          <w:color w:val="auto"/>
          <w:sz w:val="28"/>
          <w:szCs w:val="28"/>
          <w:highlight w:val="auto"/>
        </w:rPr>
        <w:t>月</w:t>
      </w:r>
    </w:p>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ind w:left="0" w:firstLineChars="0" w:firstLine="0"/>
        <w:textAlignment w:val="auto"/>
        <w:rPr>
          <w:rFonts w:ascii="Times New Roman" w:hAnsi="Times New Roman"/>
        </w:rPr>
      </w:pPr>
    </w:p>
    <w:p>
      <w:pPr>
        <w:pageBreakBefore w:val="0"/>
        <w:widowControl w:val="0"/>
        <w:kinsoku/>
        <w:wordWrap w:val="0"/>
        <w:overflowPunct/>
        <w:topLinePunct w:val="0"/>
        <w:bidi w:val="0"/>
        <w:textAlignment w:val="auto"/>
        <w:rPr>
          <w:rFonts w:ascii="Times New Roman" w:hAnsi="Times New Roman"/>
        </w:rPr>
      </w:pPr>
      <w:bookmarkStart w:id="0" w:name="_Toc505867272"/>
      <w:bookmarkStart w:id="1" w:name="_Toc506278871"/>
      <w:r>
        <w:rPr>
          <w:rFonts w:ascii="Times New Roman" w:hAnsi="Times New Roman"/>
        </w:rPr>
        <w:br w:type="page"/>
      </w:r>
    </w:p>
    <w:p>
      <w:pPr>
        <w:pStyle w:val="1"/>
        <w:keepNext/>
        <w:keepLines/>
        <w:pageBreakBefore w:val="0"/>
        <w:widowControl w:val="0"/>
        <w:kinsoku/>
        <w:wordWrap w:val="0"/>
        <w:overflowPunct/>
        <w:topLinePunct w:val="0"/>
        <w:bidi w:val="0"/>
        <w:jc w:val="center"/>
        <w:textAlignment w:val="auto"/>
        <w:rPr>
          <w:rFonts w:ascii="Times New Roman" w:hAnsi="Times New Roman"/>
        </w:rPr>
        <w:sectPr>
          <w:headerReference w:type="default" r:id="rId2"/>
          <w:footerReference w:type="even" r:id="rId3"/>
          <w:pgSz w:w="11906" w:h="16838"/>
          <w:pgMar w:top="1134" w:right="1134" w:bottom="1134" w:left="1247" w:header="567" w:footer="567" w:gutter="0"/>
          <w:docGrid w:type="lines" w:linePitch="312" w:charSpace="0"/>
        </w:sectPr>
      </w:pPr>
    </w:p>
    <w:p>
      <w:pPr>
        <w:spacing w:before="0" w:after="0" w:line="240" w:lineRule="auto"/>
        <w:ind w:left="0" w:right="0" w:firstLineChars="0" w:firstLine="0"/>
        <w:jc w:val="center"/>
      </w:pPr>
      <w:r>
        <w:rPr>
          <w:rFonts w:ascii="宋体" w:eastAsia="宋体"/>
          <w:b/>
          <w:bCs/>
          <w:sz w:val="32"/>
          <w:szCs w:val="32"/>
        </w:rPr>
        <w:t>目</w:t>
      </w:r>
      <w:r>
        <w:rPr>
          <w:rFonts w:ascii="宋体" w:eastAsia="宋体" w:hint="eastAsia"/>
          <w:b/>
          <w:bCs/>
          <w:sz w:val="32"/>
          <w:szCs w:val="32"/>
          <w:lang w:val="en-US" w:eastAsia="zh-CN"/>
        </w:rPr>
        <w:t xml:space="preserve">  </w:t>
      </w:r>
      <w:r>
        <w:rPr>
          <w:rFonts w:ascii="宋体" w:eastAsia="宋体"/>
          <w:b/>
          <w:bCs/>
          <w:sz w:val="32"/>
          <w:szCs w:val="32"/>
        </w:rPr>
        <w:t>录</w:t>
      </w:r>
    </w:p>
    <w:p>
      <w:pPr>
        <w:pStyle w:val="23"/>
        <w:tabs>
          <w:tab w:val="right" w:leader="dot" w:pos="9525"/>
        </w:tabs>
      </w:pPr>
      <w:r>
        <w:rPr>
          <w:rFonts w:ascii="Times New Roman" w:hAnsi="Times New Roman"/>
        </w:rPr>
        <w:fldChar w:fldCharType="begin"/>
      </w:r>
      <w:r>
        <w:rPr>
          <w:rFonts w:ascii="Times New Roman" w:hAnsi="Times New Roman"/>
        </w:rPr>
        <w:instrText xml:space="preserve">TOC \o "1-1"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_Toc9850 </w:instrText>
      </w:r>
      <w:r>
        <w:rPr>
          <w:rFonts w:ascii="Times New Roman" w:hAnsi="Times New Roman"/>
        </w:rPr>
        <w:fldChar w:fldCharType="separate"/>
      </w:r>
      <w:r>
        <w:rPr>
          <w:rFonts w:ascii="Times New Roman" w:hAnsi="Times New Roman"/>
        </w:rPr>
        <w:t>第一章 比选公告</w:t>
      </w:r>
      <w:r>
        <w:tab/>
      </w:r>
      <w:r>
        <w:fldChar w:fldCharType="begin"/>
      </w:r>
      <w:r>
        <w:instrText xml:space="preserve"> PAGEREF _Toc9850 \h </w:instrText>
      </w:r>
      <w:r>
        <w:fldChar w:fldCharType="separate"/>
      </w:r>
      <w:r>
        <w:t>1</w:t>
      </w:r>
      <w:r>
        <w:fldChar w:fldCharType="end"/>
      </w:r>
      <w:r>
        <w:rPr>
          <w:rFonts w:ascii="Times New Roman" w:hAnsi="Times New Roman"/>
        </w:rPr>
        <w:fldChar w:fldCharType="end"/>
      </w:r>
    </w:p>
    <w:p>
      <w:pPr>
        <w:pStyle w:val="23"/>
        <w:tabs>
          <w:tab w:val="right" w:leader="dot" w:pos="9525"/>
        </w:tabs>
      </w:pPr>
      <w:r>
        <w:rPr>
          <w:rFonts w:ascii="Times New Roman" w:hAnsi="Times New Roman"/>
        </w:rPr>
        <w:fldChar w:fldCharType="begin"/>
      </w:r>
      <w:r>
        <w:rPr>
          <w:rFonts w:ascii="Times New Roman" w:hAnsi="Times New Roman"/>
        </w:rPr>
        <w:instrText xml:space="preserve"> HYPERLINK \l _Toc22483 </w:instrText>
      </w:r>
      <w:r>
        <w:rPr>
          <w:rFonts w:ascii="Times New Roman" w:hAnsi="Times New Roman"/>
        </w:rPr>
        <w:fldChar w:fldCharType="separate"/>
      </w:r>
      <w:r>
        <w:t>第二章 比选须知</w:t>
        <w:tab/>
      </w:r>
      <w:r>
        <w:fldChar w:fldCharType="begin"/>
      </w:r>
      <w:r>
        <w:instrText xml:space="preserve"> PAGEREF _Toc22483 \h </w:instrText>
      </w:r>
      <w:r>
        <w:fldChar w:fldCharType="separate"/>
      </w:r>
      <w:r>
        <w:t>3</w:t>
      </w:r>
      <w:r>
        <w:fldChar w:fldCharType="end"/>
      </w:r>
      <w:r>
        <w:rPr>
          <w:rFonts w:ascii="Times New Roman" w:hAnsi="Times New Roman"/>
        </w:rPr>
        <w:fldChar w:fldCharType="end"/>
      </w:r>
    </w:p>
    <w:p>
      <w:pPr>
        <w:pStyle w:val="23"/>
        <w:tabs>
          <w:tab w:val="right" w:leader="dot" w:pos="9525"/>
        </w:tabs>
      </w:pPr>
      <w:r>
        <w:rPr>
          <w:rFonts w:ascii="Times New Roman" w:hAnsi="Times New Roman"/>
        </w:rPr>
        <w:fldChar w:fldCharType="begin"/>
      </w:r>
      <w:r>
        <w:rPr>
          <w:rFonts w:ascii="Times New Roman" w:hAnsi="Times New Roman"/>
        </w:rPr>
        <w:instrText xml:space="preserve"> HYPERLINK \l _Toc19736 </w:instrText>
      </w:r>
      <w:r>
        <w:rPr>
          <w:rFonts w:ascii="Times New Roman" w:hAnsi="Times New Roman"/>
        </w:rPr>
        <w:fldChar w:fldCharType="separate"/>
      </w:r>
      <w:r>
        <w:t>第三章 比选方法</w:t>
        <w:tab/>
      </w:r>
      <w:r>
        <w:fldChar w:fldCharType="begin"/>
      </w:r>
      <w:r>
        <w:instrText xml:space="preserve"> PAGEREF _Toc19736 \h </w:instrText>
      </w:r>
      <w:r>
        <w:fldChar w:fldCharType="separate"/>
      </w:r>
      <w:r>
        <w:t>14</w:t>
      </w:r>
      <w:r>
        <w:fldChar w:fldCharType="end"/>
      </w:r>
      <w:r>
        <w:rPr>
          <w:rFonts w:ascii="Times New Roman" w:hAnsi="Times New Roman"/>
        </w:rPr>
        <w:fldChar w:fldCharType="end"/>
      </w:r>
    </w:p>
    <w:p>
      <w:pPr>
        <w:pStyle w:val="23"/>
        <w:tabs>
          <w:tab w:val="right" w:leader="dot" w:pos="9525"/>
        </w:tabs>
      </w:pPr>
      <w:r>
        <w:rPr>
          <w:rFonts w:ascii="Times New Roman" w:hAnsi="Times New Roman"/>
        </w:rPr>
        <w:fldChar w:fldCharType="begin"/>
      </w:r>
      <w:r>
        <w:rPr>
          <w:rFonts w:ascii="Times New Roman" w:hAnsi="Times New Roman"/>
        </w:rPr>
        <w:instrText xml:space="preserve"> HYPERLINK \l _Toc7759 </w:instrText>
      </w:r>
      <w:r>
        <w:rPr>
          <w:rFonts w:ascii="Times New Roman" w:hAnsi="Times New Roman"/>
        </w:rPr>
        <w:fldChar w:fldCharType="separate"/>
      </w:r>
      <w:r>
        <w:t>第四章 合同条款（样本）</w:t>
        <w:tab/>
      </w:r>
      <w:r>
        <w:fldChar w:fldCharType="begin"/>
      </w:r>
      <w:r>
        <w:instrText xml:space="preserve"> PAGEREF _Toc7759 \h </w:instrText>
      </w:r>
      <w:r>
        <w:fldChar w:fldCharType="separate"/>
      </w:r>
      <w:r>
        <w:t>21</w:t>
      </w:r>
      <w:r>
        <w:fldChar w:fldCharType="end"/>
      </w:r>
      <w:r>
        <w:rPr>
          <w:rFonts w:ascii="Times New Roman" w:hAnsi="Times New Roman"/>
        </w:rPr>
        <w:fldChar w:fldCharType="end"/>
      </w:r>
    </w:p>
    <w:p>
      <w:pPr>
        <w:pStyle w:val="23"/>
        <w:tabs>
          <w:tab w:val="right" w:leader="dot" w:pos="9525"/>
        </w:tabs>
      </w:pPr>
      <w:r>
        <w:rPr>
          <w:rFonts w:ascii="Times New Roman" w:hAnsi="Times New Roman"/>
        </w:rPr>
        <w:fldChar w:fldCharType="begin"/>
      </w:r>
      <w:r>
        <w:rPr>
          <w:rFonts w:ascii="Times New Roman" w:hAnsi="Times New Roman"/>
        </w:rPr>
        <w:instrText xml:space="preserve"> HYPERLINK \l _Toc28876 </w:instrText>
      </w:r>
      <w:r>
        <w:rPr>
          <w:rFonts w:ascii="Times New Roman" w:hAnsi="Times New Roman"/>
        </w:rPr>
        <w:fldChar w:fldCharType="separate"/>
      </w:r>
      <w:r>
        <w:rPr>
          <w:rFonts w:hint="eastAsia"/>
        </w:rPr>
        <w:t xml:space="preserve">第五章 </w:t>
      </w:r>
      <w:r>
        <w:rPr>
          <w:rFonts w:hint="eastAsia"/>
          <w:lang w:val="en-US" w:eastAsia="zh-CN"/>
        </w:rPr>
        <w:t>技术商务要求</w:t>
      </w:r>
      <w:r>
        <w:tab/>
      </w:r>
      <w:r>
        <w:fldChar w:fldCharType="begin"/>
      </w:r>
      <w:r>
        <w:instrText xml:space="preserve"> PAGEREF _Toc28876 \h </w:instrText>
      </w:r>
      <w:r>
        <w:fldChar w:fldCharType="separate"/>
      </w:r>
      <w:r>
        <w:t>28</w:t>
      </w:r>
      <w:r>
        <w:fldChar w:fldCharType="end"/>
      </w:r>
      <w:r>
        <w:rPr>
          <w:rFonts w:ascii="Times New Roman" w:hAnsi="Times New Roman"/>
        </w:rPr>
        <w:fldChar w:fldCharType="end"/>
      </w:r>
    </w:p>
    <w:p>
      <w:pPr>
        <w:pStyle w:val="23"/>
        <w:tabs>
          <w:tab w:val="right" w:leader="dot" w:pos="9525"/>
        </w:tabs>
      </w:pPr>
      <w:r>
        <w:rPr>
          <w:rFonts w:ascii="Times New Roman" w:hAnsi="Times New Roman"/>
        </w:rPr>
        <w:fldChar w:fldCharType="begin"/>
      </w:r>
      <w:r>
        <w:rPr>
          <w:rFonts w:ascii="Times New Roman" w:hAnsi="Times New Roman"/>
        </w:rPr>
        <w:instrText xml:space="preserve"> HYPERLINK \l _Toc23389 </w:instrText>
      </w:r>
      <w:r>
        <w:rPr>
          <w:rFonts w:ascii="Times New Roman" w:hAnsi="Times New Roman"/>
        </w:rPr>
        <w:fldChar w:fldCharType="separate"/>
      </w:r>
      <w:r>
        <w:t xml:space="preserve">第六章 </w:t>
      </w:r>
      <w:r>
        <w:rPr>
          <w:rFonts w:hint="eastAsia"/>
          <w:lang w:val="en-US" w:eastAsia="zh-CN"/>
        </w:rPr>
        <w:t>投标</w:t>
      </w:r>
      <w:r>
        <w:t>文件格式</w:t>
        <w:tab/>
      </w:r>
      <w:r>
        <w:fldChar w:fldCharType="begin"/>
      </w:r>
      <w:r>
        <w:instrText xml:space="preserve"> PAGEREF _Toc23389 \h </w:instrText>
      </w:r>
      <w:r>
        <w:fldChar w:fldCharType="separate"/>
      </w:r>
      <w:r>
        <w:t>32</w:t>
      </w:r>
      <w:r>
        <w:fldChar w:fldCharType="end"/>
      </w:r>
      <w:r>
        <w:rPr>
          <w:rFonts w:ascii="Times New Roman" w:hAnsi="Times New Roman"/>
        </w:rPr>
        <w:fldChar w:fldCharType="end"/>
      </w:r>
    </w:p>
    <w:p>
      <w:pPr>
        <w:pStyle w:val="1"/>
        <w:keepNext/>
        <w:keepLines/>
        <w:pageBreakBefore w:val="0"/>
        <w:widowControl w:val="0"/>
        <w:kinsoku/>
        <w:wordWrap w:val="0"/>
        <w:overflowPunct/>
        <w:topLinePunct w:val="0"/>
        <w:bidi w:val="0"/>
        <w:jc w:val="both"/>
        <w:textAlignment w:val="auto"/>
        <w:sectPr>
          <w:footerReference w:type="default" r:id="rId4"/>
          <w:pgSz w:w="11906" w:h="16838"/>
          <w:pgMar w:top="1134" w:right="1134" w:bottom="1134" w:left="1247" w:header="567" w:footer="567" w:gutter="0"/>
          <w:pgNumType w:start="1"/>
          <w:docGrid w:type="lines" w:linePitch="312" w:charSpace="0"/>
        </w:sectPr>
      </w:pPr>
      <w:r>
        <w:rPr>
          <w:rFonts w:ascii="Times New Roman" w:hAnsi="Times New Roman"/>
        </w:rPr>
        <w:fldChar w:fldCharType="end"/>
      </w:r>
    </w:p>
    <w:p>
      <w:pPr>
        <w:pStyle w:val="1"/>
        <w:keepNext/>
        <w:keepLines/>
        <w:pageBreakBefore w:val="0"/>
        <w:widowControl w:val="0"/>
        <w:kinsoku/>
        <w:wordWrap w:val="0"/>
        <w:overflowPunct/>
        <w:topLinePunct w:val="0"/>
        <w:bidi w:val="0"/>
        <w:jc w:val="center"/>
        <w:textAlignment w:val="auto"/>
        <w:rPr>
          <w:rFonts w:ascii="Times New Roman" w:hAnsi="Times New Roman"/>
        </w:rPr>
      </w:pPr>
      <w:bookmarkStart w:id="2" w:name="_Toc9850"/>
      <w:r>
        <w:rPr>
          <w:rFonts w:ascii="Times New Roman" w:hAnsi="Times New Roman"/>
        </w:rPr>
        <w:t>第一章 比选</w:t>
      </w:r>
      <w:bookmarkEnd w:id="0"/>
      <w:bookmarkEnd w:id="1"/>
      <w:r>
        <w:rPr>
          <w:rFonts w:ascii="Times New Roman" w:hAnsi="Times New Roman"/>
        </w:rPr>
        <w:t>公告</w:t>
      </w:r>
      <w:bookmarkEnd w:id="2"/>
    </w:p>
    <w:p>
      <w:pPr>
        <w:keepNext w:val="0"/>
        <w:keepLines w:val="0"/>
        <w:pageBreakBefore w:val="0"/>
        <w:widowControl w:val="0"/>
        <w:kinsoku/>
        <w:wordWrap w:val="0"/>
        <w:overflowPunct/>
        <w:topLinePunct w:val="0"/>
        <w:autoSpaceDE/>
        <w:autoSpaceDN/>
        <w:bidi w:val="0"/>
        <w:adjustRightInd/>
        <w:snapToGrid/>
        <w:ind w:left="0" w:firstLineChars="200" w:firstLine="420"/>
        <w:textAlignment w:val="auto"/>
        <w:rPr>
          <w:rFonts w:ascii="Times New Roman" w:hAnsi="Times New Roman" w:hint="eastAsia"/>
          <w:lang w:val="en-US" w:eastAsia="zh-CN"/>
        </w:rPr>
      </w:pPr>
      <w:bookmarkStart w:id="3" w:name="_Toc505867273"/>
      <w:bookmarkStart w:id="4" w:name="_Toc506278872"/>
      <w:r>
        <w:rPr>
          <w:rFonts w:ascii="Times New Roman" w:hAnsi="Times New Roman" w:hint="eastAsia"/>
          <w:lang w:val="en-US" w:eastAsia="zh-CN"/>
        </w:rPr>
        <w:t>本项目需对黔江海关现有ups电源和监控储存设施进行更新升级，主要解决备用电力电源保障不足、环境湿度过高、存储容量不足等问题。通过UPS电池组扩容、部署专业除湿系统、配置电路安全管理一体机、扩展存储设备及更换故障部件，全面提升机房基础设施的安全性与监控存储连续性。</w:t>
      </w:r>
    </w:p>
    <w:p>
      <w:pPr>
        <w:pageBreakBefore w:val="0"/>
        <w:widowControl w:val="0"/>
        <w:numPr>
          <w:ilvl w:val="0"/>
          <w:numId w:val="1"/>
        </w:numPr>
        <w:kinsoku/>
        <w:wordWrap w:val="0"/>
        <w:overflowPunct/>
        <w:topLinePunct w:val="0"/>
        <w:bidi w:val="0"/>
        <w:ind w:firstLineChars="0"/>
        <w:textAlignment w:val="auto"/>
        <w:rPr>
          <w:rFonts w:ascii="Times New Roman" w:hAnsi="Times New Roman" w:hint="eastAsia"/>
          <w:b/>
          <w:bCs/>
          <w:lang w:eastAsia="zh-CN"/>
        </w:rPr>
      </w:pPr>
      <w:r>
        <w:rPr>
          <w:rFonts w:ascii="Times New Roman" w:hAnsi="Times New Roman"/>
          <w:b/>
          <w:bCs/>
        </w:rPr>
        <w:t>项目</w:t>
      </w:r>
      <w:r>
        <w:rPr>
          <w:rFonts w:ascii="Times New Roman" w:hAnsi="Times New Roman" w:hint="eastAsia"/>
          <w:b/>
          <w:bCs/>
          <w:lang w:val="en-US" w:eastAsia="zh-CN"/>
        </w:rPr>
        <w:t>概况及招标范围</w:t>
      </w:r>
      <w:r>
        <w:rPr>
          <w:rFonts w:ascii="Times New Roman" w:hAnsi="Times New Roman" w:hint="eastAsia"/>
          <w:b/>
          <w:bCs/>
          <w:lang w:eastAsia="zh-CN"/>
        </w:rPr>
        <w:t>（</w:t>
      </w:r>
      <w:r>
        <w:rPr>
          <w:rFonts w:ascii="Times New Roman" w:hAnsi="Times New Roman" w:hint="eastAsia"/>
          <w:b/>
          <w:bCs/>
        </w:rPr>
        <w:t>详见</w:t>
      </w:r>
      <w:r>
        <w:rPr>
          <w:rFonts w:ascii="Times New Roman" w:hAnsi="Times New Roman" w:hint="eastAsia"/>
          <w:b/>
          <w:bCs/>
          <w:lang w:eastAsia="zh-CN"/>
        </w:rPr>
        <w:t>“</w:t>
      </w:r>
      <w:r>
        <w:rPr>
          <w:rFonts w:ascii="Times New Roman" w:hAnsi="Times New Roman" w:hint="eastAsia"/>
          <w:b/>
          <w:bCs/>
        </w:rPr>
        <w:t>第</w:t>
      </w:r>
      <w:r>
        <w:rPr>
          <w:rFonts w:ascii="Times New Roman" w:hAnsi="Times New Roman" w:hint="eastAsia"/>
          <w:b/>
          <w:bCs/>
          <w:lang w:val="en-US" w:eastAsia="zh-CN"/>
        </w:rPr>
        <w:t>五</w:t>
      </w:r>
      <w:r>
        <w:rPr>
          <w:rFonts w:ascii="Times New Roman" w:hAnsi="Times New Roman" w:hint="eastAsia"/>
          <w:b/>
          <w:bCs/>
        </w:rPr>
        <w:t>章</w:t>
      </w:r>
      <w:r>
        <w:rPr>
          <w:rFonts w:ascii="Times New Roman" w:hAnsi="Times New Roman" w:hint="eastAsia"/>
          <w:b/>
          <w:bCs/>
          <w:lang w:val="en-US" w:eastAsia="zh-CN"/>
        </w:rPr>
        <w:t xml:space="preserve"> 技术商务要求”</w:t>
      </w:r>
      <w:r>
        <w:rPr>
          <w:rFonts w:ascii="Times New Roman" w:hAnsi="Times New Roman" w:hint="eastAsia"/>
          <w:b/>
          <w:bCs/>
          <w:lang w:eastAsia="zh-CN"/>
        </w:rPr>
        <w:t>）</w:t>
      </w:r>
    </w:p>
    <w:tbl>
      <w:tblPr>
        <w:jc w:val="center"/>
        <w:tblW w:w="95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52"/>
        <w:gridCol w:w="3513"/>
        <w:gridCol w:w="2306"/>
        <w:gridCol w:w="3392"/>
      </w:tblGrid>
      <w:tr>
        <w:tc>
          <w:tcPr>
            <w:tcW w:w="352" w:type="dxa"/>
            <w:tcBorders>
              <w:top w:val="single" w:sz="6" w:space="0" w:color="auto"/>
              <w:left w:val="single" w:sz="6" w:space="0" w:color="auto"/>
              <w:bottom w:val="single" w:sz="6" w:space="0" w:color="auto"/>
              <w:right w:val="single" w:sz="6" w:space="0" w:color="auto"/>
            </w:tcBorders>
            <w:noWrap/>
            <w:vAlign w:val="center"/>
          </w:tcPr>
          <w:p>
            <w:pPr>
              <w:spacing w:line="360" w:lineRule="auto"/>
              <w:ind w:left="0" w:firstLineChars="0" w:firstLine="0"/>
              <w:jc w:val="center"/>
              <w:rPr>
                <w:rFonts w:ascii="宋体" w:hint="eastAsia"/>
                <w:b/>
                <w:sz w:val="24"/>
              </w:rPr>
            </w:pPr>
            <w:r>
              <w:rPr>
                <w:rFonts w:ascii="宋体" w:hint="eastAsia"/>
                <w:b/>
                <w:sz w:val="24"/>
              </w:rPr>
              <w:t>序号</w:t>
            </w:r>
          </w:p>
        </w:tc>
        <w:tc>
          <w:tcPr>
            <w:tcW w:w="3513" w:type="dxa"/>
            <w:tcBorders>
              <w:top w:val="single" w:sz="6" w:space="0" w:color="auto"/>
              <w:left w:val="nil"/>
              <w:bottom w:val="single" w:sz="6" w:space="0" w:color="auto"/>
              <w:right w:val="single" w:sz="6" w:space="0" w:color="auto"/>
            </w:tcBorders>
            <w:noWrap/>
            <w:vAlign w:val="center"/>
          </w:tcPr>
          <w:p>
            <w:pPr>
              <w:spacing w:line="360" w:lineRule="auto"/>
              <w:ind w:left="0" w:firstLineChars="0" w:firstLine="0"/>
              <w:jc w:val="center"/>
              <w:rPr>
                <w:rFonts w:ascii="宋体" w:hint="eastAsia"/>
                <w:b/>
                <w:sz w:val="24"/>
              </w:rPr>
            </w:pPr>
            <w:r>
              <w:rPr>
                <w:rFonts w:ascii="宋体" w:hint="eastAsia"/>
                <w:b/>
                <w:sz w:val="24"/>
              </w:rPr>
              <w:t>内容</w:t>
            </w:r>
          </w:p>
        </w:tc>
        <w:tc>
          <w:tcPr>
            <w:tcW w:w="2306" w:type="dxa"/>
            <w:tcBorders>
              <w:top w:val="single" w:sz="6" w:space="0" w:color="auto"/>
              <w:left w:val="nil"/>
              <w:bottom w:val="single" w:sz="6" w:space="0" w:color="auto"/>
              <w:right w:val="single" w:sz="4" w:space="0" w:color="auto"/>
            </w:tcBorders>
            <w:noWrap/>
            <w:vAlign w:val="center"/>
          </w:tcPr>
          <w:p>
            <w:pPr>
              <w:spacing w:line="360" w:lineRule="auto"/>
              <w:ind w:left="0" w:firstLineChars="0" w:firstLine="0"/>
              <w:jc w:val="center"/>
              <w:rPr>
                <w:rFonts w:ascii="宋体" w:hint="eastAsia"/>
                <w:b/>
                <w:sz w:val="24"/>
              </w:rPr>
            </w:pPr>
            <w:r>
              <w:rPr>
                <w:rFonts w:ascii="宋体" w:hint="eastAsia"/>
                <w:b/>
                <w:sz w:val="24"/>
              </w:rPr>
              <w:t>最高限价（万元）</w:t>
            </w:r>
          </w:p>
        </w:tc>
        <w:tc>
          <w:tcPr>
            <w:tcW w:w="3392" w:type="dxa"/>
            <w:tcBorders>
              <w:top w:val="single" w:sz="6" w:space="0" w:color="auto"/>
              <w:left w:val="single" w:sz="4" w:space="0" w:color="auto"/>
              <w:bottom w:val="single" w:sz="6" w:space="0" w:color="auto"/>
              <w:right w:val="single" w:sz="6" w:space="0" w:color="auto"/>
            </w:tcBorders>
            <w:noWrap/>
            <w:vAlign w:val="center"/>
          </w:tcPr>
          <w:p>
            <w:pPr>
              <w:spacing w:line="360" w:lineRule="auto"/>
              <w:ind w:left="0" w:firstLineChars="0" w:firstLine="0"/>
              <w:jc w:val="center"/>
              <w:rPr>
                <w:rFonts w:ascii="宋体" w:hint="eastAsia"/>
                <w:b/>
                <w:sz w:val="24"/>
              </w:rPr>
            </w:pPr>
            <w:r>
              <w:rPr>
                <w:rFonts w:ascii="宋体" w:hint="eastAsia"/>
                <w:b/>
                <w:sz w:val="24"/>
              </w:rPr>
              <w:t>备注</w:t>
            </w:r>
          </w:p>
        </w:tc>
      </w:tr>
      <w:tr>
        <w:trPr>
          <w:trHeight w:val="90"/>
        </w:trPr>
        <w:tc>
          <w:tcPr>
            <w:tcW w:w="352" w:type="dxa"/>
            <w:tcBorders>
              <w:top w:val="nil"/>
              <w:left w:val="single" w:sz="6" w:space="0" w:color="auto"/>
              <w:bottom w:val="single" w:sz="6" w:space="0" w:color="auto"/>
              <w:right w:val="single" w:sz="6" w:space="0" w:color="auto"/>
            </w:tcBorders>
            <w:noWrap/>
            <w:vAlign w:val="center"/>
          </w:tcPr>
          <w:p>
            <w:pPr>
              <w:pStyle w:val="30"/>
              <w:pageBreakBefore w:val="0"/>
              <w:widowControl w:val="0"/>
              <w:kinsoku/>
              <w:wordWrap w:val="0"/>
              <w:overflowPunct/>
              <w:topLinePunct w:val="0"/>
              <w:bidi w:val="0"/>
              <w:jc w:val="center"/>
              <w:textAlignment w:val="auto"/>
              <w:rPr>
                <w:rFonts w:ascii="Times New Roman" w:eastAsia="宋体" w:hAnsi="Times New Roman" w:hint="eastAsia"/>
                <w:lang w:val="en-US" w:eastAsia="zh-CN"/>
              </w:rPr>
            </w:pPr>
            <w:r>
              <w:rPr>
                <w:rFonts w:ascii="Times New Roman" w:eastAsia="宋体" w:hAnsi="Times New Roman" w:hint="eastAsia"/>
                <w:lang w:val="en-US" w:eastAsia="zh-CN"/>
              </w:rPr>
              <w:t>1</w:t>
            </w:r>
          </w:p>
        </w:tc>
        <w:tc>
          <w:tcPr>
            <w:tcW w:w="3513" w:type="dxa"/>
            <w:tcBorders>
              <w:top w:val="nil"/>
              <w:left w:val="nil"/>
              <w:bottom w:val="single" w:sz="6" w:space="0" w:color="auto"/>
              <w:right w:val="single" w:sz="6" w:space="0" w:color="auto"/>
            </w:tcBorders>
            <w:noWrap/>
            <w:vAlign w:val="center"/>
          </w:tcPr>
          <w:p>
            <w:pPr>
              <w:pStyle w:val="30"/>
              <w:pageBreakBefore w:val="0"/>
              <w:widowControl w:val="0"/>
              <w:kinsoku/>
              <w:wordWrap w:val="0"/>
              <w:overflowPunct/>
              <w:topLinePunct w:val="0"/>
              <w:bidi w:val="0"/>
              <w:jc w:val="center"/>
              <w:textAlignment w:val="auto"/>
              <w:rPr>
                <w:rFonts w:ascii="Times New Roman" w:eastAsia="宋体" w:hAnsi="Times New Roman" w:hint="eastAsia"/>
                <w:lang w:val="en-US" w:eastAsia="zh-CN"/>
              </w:rPr>
            </w:pPr>
            <w:r>
              <w:rPr>
                <w:rFonts w:hint="eastAsia"/>
                <w:lang w:val="en-US" w:eastAsia="zh-CN"/>
              </w:rPr>
              <w:t>黔江海关UPS电池更新及监控扩容升级项目</w:t>
            </w:r>
          </w:p>
        </w:tc>
        <w:tc>
          <w:tcPr>
            <w:tcW w:w="2306" w:type="dxa"/>
            <w:tcBorders>
              <w:top w:val="nil"/>
              <w:left w:val="nil"/>
              <w:bottom w:val="single" w:sz="6" w:space="0" w:color="auto"/>
              <w:right w:val="single" w:sz="4" w:space="0" w:color="auto"/>
            </w:tcBorders>
            <w:noWrap/>
            <w:vAlign w:val="center"/>
          </w:tcPr>
          <w:p>
            <w:pPr>
              <w:pStyle w:val="30"/>
              <w:pageBreakBefore w:val="0"/>
              <w:widowControl w:val="0"/>
              <w:kinsoku/>
              <w:wordWrap w:val="0"/>
              <w:overflowPunct/>
              <w:topLinePunct w:val="0"/>
              <w:bidi w:val="0"/>
              <w:jc w:val="center"/>
              <w:textAlignment w:val="auto"/>
              <w:rPr>
                <w:rFonts w:ascii="Times New Roman" w:eastAsia="宋体" w:hAnsi="Times New Roman" w:hint="eastAsia"/>
                <w:lang w:val="en-US" w:eastAsia="zh-CN"/>
              </w:rPr>
            </w:pPr>
            <w:r>
              <w:rPr>
                <w:rFonts w:ascii="Times New Roman" w:eastAsia="宋体" w:hAnsi="Times New Roman" w:hint="eastAsia"/>
                <w:lang w:val="en-US" w:eastAsia="zh-CN"/>
              </w:rPr>
              <w:t>14.</w:t>
            </w:r>
            <w:r>
              <w:rPr>
                <w:rFonts w:hint="eastAsia"/>
                <w:lang w:val="en-US" w:eastAsia="zh-CN"/>
              </w:rPr>
              <w:t>4</w:t>
            </w:r>
            <w:r>
              <w:rPr>
                <w:rFonts w:ascii="Times New Roman" w:eastAsia="宋体" w:hAnsi="Times New Roman" w:hint="eastAsia"/>
                <w:lang w:val="en-US" w:eastAsia="zh-CN"/>
              </w:rPr>
              <w:t>3</w:t>
            </w:r>
          </w:p>
        </w:tc>
        <w:tc>
          <w:tcPr>
            <w:tcW w:w="3392" w:type="dxa"/>
            <w:tcBorders>
              <w:top w:val="nil"/>
              <w:left w:val="single" w:sz="4" w:space="0" w:color="auto"/>
              <w:bottom w:val="single" w:sz="6" w:space="0" w:color="auto"/>
              <w:right w:val="single" w:sz="6" w:space="0" w:color="auto"/>
            </w:tcBorders>
            <w:noWrap/>
            <w:vAlign w:val="center"/>
          </w:tcPr>
          <w:p>
            <w:pPr>
              <w:pStyle w:val="30"/>
              <w:pageBreakBefore w:val="0"/>
              <w:widowControl w:val="0"/>
              <w:kinsoku/>
              <w:wordWrap w:val="0"/>
              <w:overflowPunct/>
              <w:topLinePunct w:val="0"/>
              <w:bidi w:val="0"/>
              <w:jc w:val="left"/>
              <w:textAlignment w:val="auto"/>
              <w:rPr>
                <w:rFonts w:ascii="Times New Roman" w:eastAsia="宋体" w:hAnsi="Times New Roman"/>
                <w:lang w:val="en-US" w:eastAsia="zh-CN"/>
              </w:rPr>
            </w:pPr>
            <w:r>
              <w:rPr>
                <w:rFonts w:ascii="Times New Roman" w:eastAsia="宋体" w:hAnsi="Times New Roman" w:hint="eastAsia"/>
                <w:lang w:val="en-US" w:eastAsia="zh-CN"/>
              </w:rPr>
              <w:t>UPS电池组2组、32节1组，机房除湿机工业级1台，硬盘录像机256路1台，企业级硬盘14T 11块，主机电路安全管理一体机1台，安装调试费。</w:t>
            </w:r>
          </w:p>
        </w:tc>
      </w:tr>
    </w:tbl>
    <w:p>
      <w:pPr>
        <w:pageBreakBefore w:val="0"/>
        <w:widowControl w:val="0"/>
        <w:kinsoku/>
        <w:wordWrap w:val="0"/>
        <w:overflowPunct/>
        <w:topLinePunct w:val="0"/>
        <w:bidi w:val="0"/>
        <w:textAlignment w:val="auto"/>
        <w:rPr>
          <w:rFonts w:ascii="Times New Roman" w:hAnsi="Times New Roman"/>
          <w:b/>
          <w:bCs/>
        </w:rPr>
      </w:pPr>
      <w:r>
        <w:rPr>
          <w:rFonts w:ascii="Times New Roman" w:hAnsi="Times New Roman"/>
          <w:b/>
          <w:bCs/>
        </w:rPr>
        <w:t>二、供应商资格要求</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1.具有独立承担民事责任的能力〔投标人应提供合法有效的营业执照复印件或扫描件并加盖投标人公章；不具备独立承担民事责任能力的，还需要提供具有独立承担民事责任能力的总公司对本项目的授权（提供总公司有效的营业执照复印件或扫描件及授权书并加盖投标人公章）〕；</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2.具有良好的商业信誉和健全的财务会计制度（投标人应提供具有良好的商业信誉和健全的财务会计制度的书面承诺并加盖投标人公章）；</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3.有依法缴纳税收和社会保障资金的良好记录（投标人应提供有依法缴纳税收和社会保障资金的良好记录的书面承诺并加盖投标人公章，以及在信用中国网站（https</w:t>
      </w:r>
      <w:r>
        <w:rPr>
          <w:rFonts w:ascii="Times New Roman" w:hAnsi="Times New Roman" w:hint="eastAsia"/>
          <w:lang w:val="en-US" w:eastAsia="zh-CN"/>
        </w:rPr>
        <w:t>:</w:t>
      </w:r>
      <w:r>
        <w:rPr>
          <w:rFonts w:ascii="Times New Roman" w:hAnsi="Times New Roman" w:hint="eastAsia"/>
          <w:lang w:eastAsia="zh-CN"/>
        </w:rPr>
        <w:t>//www.creditchina.gov.cn）中重大税收违法失信主体的查询结果截图并加盖投标人公章）；</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4.投标人不得存在的其他情形之一：</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（1）与采购人存在利害关系且可能影响采购活动公正性；</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（2）与本采购项目的其他响应方为同一个单位负责人；</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（3）与本采购项目的其他响应方存在控股、管理关系；</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（4）被依法暂停或者取消投标资格；</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（5）被其他采购方列入黑名单并在其官网公布；</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（6）被责令停产停业、暂扣或者吊销许可证、暂扣或者吊销执照；</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（7）进入清算程序，或被宣告破产，或其他丧失履约能力的情形；</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（8）在最近三年内发生重大产品质量问题；</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（9）被市场监督管理机关在全国企业信用信息公示系统中列入经营异常、严重违法失信企业名单；</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（10）被列为失信被执行人名单；</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（1</w:t>
      </w:r>
      <w:r>
        <w:rPr>
          <w:rFonts w:ascii="Times New Roman" w:hAnsi="Times New Roman" w:hint="eastAsia"/>
          <w:lang w:val="en-US" w:eastAsia="zh-CN"/>
        </w:rPr>
        <w:t>1</w:t>
      </w:r>
      <w:r>
        <w:rPr>
          <w:rFonts w:ascii="Times New Roman" w:hAnsi="Times New Roman" w:hint="eastAsia"/>
          <w:lang w:eastAsia="zh-CN"/>
        </w:rPr>
        <w:t>）所属行业属于“两高一剩”行业；</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lang w:eastAsia="zh-CN"/>
        </w:rPr>
        <w:t>（1</w:t>
      </w:r>
      <w:r>
        <w:rPr>
          <w:rFonts w:ascii="Times New Roman" w:hAnsi="Times New Roman" w:hint="eastAsia"/>
          <w:lang w:val="en-US" w:eastAsia="zh-CN"/>
        </w:rPr>
        <w:t>2</w:t>
      </w:r>
      <w:r>
        <w:rPr>
          <w:rFonts w:ascii="Times New Roman" w:hAnsi="Times New Roman" w:hint="eastAsia"/>
          <w:lang w:eastAsia="zh-CN"/>
        </w:rPr>
        <w:t>）法律法规规定的其他情形。</w:t>
      </w:r>
    </w:p>
    <w:p>
      <w:pPr>
        <w:pageBreakBefore w:val="0"/>
        <w:widowControl w:val="0"/>
        <w:kinsoku/>
        <w:wordWrap w:val="0"/>
        <w:overflowPunct/>
        <w:topLinePunct w:val="0"/>
        <w:bidi w:val="0"/>
        <w:textAlignment w:val="auto"/>
        <w:rPr>
          <w:rStyle w:val="10"/>
          <w:rFonts w:ascii="Times New Roman" w:hAnsi="Times New Roman"/>
          <w:b/>
          <w:bCs/>
        </w:rPr>
      </w:pPr>
      <w:r>
        <w:rPr>
          <w:rFonts w:ascii="Times New Roman" w:hAnsi="Times New Roman"/>
          <w:b/>
          <w:bCs/>
        </w:rPr>
        <w:t>三、比选文件的获取</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rPr>
        <w:t>获取</w:t>
      </w:r>
      <w:r>
        <w:rPr>
          <w:rFonts w:ascii="Times New Roman" w:hAnsi="Times New Roman" w:hint="eastAsia"/>
        </w:rPr>
        <w:t>时间</w:t>
      </w:r>
      <w:r>
        <w:rPr>
          <w:rFonts w:ascii="Times New Roman" w:hAnsi="Times New Roman" w:hint="eastAsia"/>
          <w:lang w:eastAsia="zh-CN"/>
        </w:rPr>
        <w:t>：</w:t>
      </w:r>
      <w:r>
        <w:rPr>
          <w:rFonts w:ascii="Times New Roman" w:hAnsi="Times New Roman" w:hint="eastAsia"/>
          <w:color w:val="auto"/>
          <w:lang w:val="en-US" w:eastAsia="zh-CN"/>
        </w:rPr>
        <w:t>2026</w:t>
      </w:r>
      <w:r>
        <w:rPr>
          <w:rFonts w:ascii="Times New Roman" w:hAnsi="Times New Roman" w:hint="eastAsia"/>
          <w:color w:val="auto"/>
        </w:rPr>
        <w:t>年</w:t>
      </w:r>
      <w:r>
        <w:rPr>
          <w:rFonts w:ascii="Times New Roman" w:hAnsi="Times New Roman" w:hint="eastAsia"/>
          <w:color w:val="auto"/>
          <w:lang w:val="en-US" w:eastAsia="zh-CN"/>
        </w:rPr>
        <w:t>6月16日</w:t>
      </w:r>
      <w:r>
        <w:rPr>
          <w:rFonts w:ascii="Times New Roman" w:hAnsi="Times New Roman" w:hint="eastAsia"/>
          <w:color w:val="auto"/>
        </w:rPr>
        <w:t>起</w:t>
      </w:r>
      <w:r>
        <w:rPr>
          <w:rFonts w:ascii="Times New Roman" w:hAnsi="Times New Roman" w:hint="eastAsia"/>
        </w:rPr>
        <w:t>至提交响应文件截止时间前。</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获取方式：在重庆海关官方网站 （https://www.creditchina.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售价：无。</w:t>
      </w:r>
    </w:p>
    <w:p>
      <w:pPr>
        <w:pageBreakBefore w:val="0"/>
        <w:widowControl w:val="0"/>
        <w:kinsoku/>
        <w:wordWrap w:val="0"/>
        <w:overflowPunct/>
        <w:topLinePunct w:val="0"/>
        <w:bidi w:val="0"/>
        <w:textAlignment w:val="auto"/>
        <w:rPr>
          <w:rFonts w:ascii="Times New Roman" w:hAnsi="Times New Roman"/>
          <w:b/>
          <w:bCs/>
        </w:rPr>
      </w:pPr>
      <w:r>
        <w:rPr>
          <w:rFonts w:ascii="Times New Roman" w:hAnsi="Times New Roman"/>
          <w:b/>
          <w:bCs/>
        </w:rPr>
        <w:t>四、响应文件的递交</w:t>
      </w:r>
    </w:p>
    <w:p>
      <w:pPr>
        <w:pageBreakBefore w:val="0"/>
        <w:widowControl w:val="0"/>
        <w:kinsoku/>
        <w:wordWrap w:val="0"/>
        <w:overflowPunct/>
        <w:topLinePunct w:val="0"/>
        <w:bidi w:val="0"/>
        <w:textAlignment w:val="auto"/>
        <w:rPr>
          <w:rFonts w:ascii="Times New Roman" w:eastAsia="宋体" w:hAnsi="Times New Roman" w:hint="eastAsia"/>
          <w:lang w:val="en-US" w:eastAsia="zh-CN"/>
        </w:rPr>
      </w:pPr>
      <w:r>
        <w:rPr>
          <w:rFonts w:ascii="Times New Roman" w:hAnsi="Times New Roman" w:hint="eastAsia"/>
        </w:rPr>
        <w:t>1.提交响应文件时间：</w:t>
      </w:r>
      <w:r>
        <w:rPr>
          <w:rFonts w:ascii="Times New Roman" w:hAnsi="Times New Roman" w:hint="eastAsia"/>
          <w:color w:val="auto"/>
          <w:lang w:val="en-US" w:eastAsia="zh-CN"/>
        </w:rPr>
        <w:t>2026</w:t>
      </w:r>
      <w:r>
        <w:rPr>
          <w:rFonts w:ascii="Times New Roman" w:hAnsi="Times New Roman" w:hint="eastAsia"/>
          <w:color w:val="auto"/>
        </w:rPr>
        <w:t>年</w:t>
      </w:r>
      <w:r>
        <w:rPr>
          <w:rFonts w:ascii="Times New Roman" w:hAnsi="Times New Roman" w:hint="eastAsia"/>
          <w:color w:val="auto"/>
          <w:lang w:val="en-US" w:eastAsia="zh-CN"/>
        </w:rPr>
        <w:t>6月23日10</w:t>
      </w:r>
      <w:r>
        <w:rPr>
          <w:rFonts w:ascii="Times New Roman" w:hAnsi="Times New Roman" w:hint="eastAsia"/>
          <w:color w:val="auto"/>
          <w:lang w:eastAsia="zh-CN"/>
        </w:rPr>
        <w:t>：</w:t>
      </w:r>
      <w:r>
        <w:rPr>
          <w:rFonts w:ascii="Times New Roman" w:hAnsi="Times New Roman" w:hint="eastAsia"/>
          <w:color w:val="auto"/>
        </w:rPr>
        <w:t>00</w:t>
      </w:r>
      <w:r>
        <w:rPr>
          <w:rFonts w:ascii="Times New Roman" w:hAnsi="Times New Roman" w:hint="eastAsia"/>
          <w:color w:val="auto"/>
          <w:lang w:val="en-US" w:eastAsia="zh-CN"/>
        </w:rPr>
        <w:t>至10:30</w:t>
      </w:r>
      <w:r>
        <w:rPr>
          <w:rFonts w:ascii="Times New Roman" w:hAnsi="Times New Roman" w:hint="eastAsia"/>
          <w:color w:val="auto"/>
        </w:rPr>
        <w:t>（北京时间）</w:t>
      </w:r>
      <w:r>
        <w:rPr>
          <w:rFonts w:ascii="Times New Roman" w:hAnsi="Times New Roman" w:hint="eastAsia"/>
          <w:lang w:eastAsia="zh-CN"/>
        </w:rPr>
        <w:t>。</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2.提交地点及要求：凡有意参加的供应商，请采取</w:t>
      </w:r>
      <w:r>
        <w:rPr>
          <w:rFonts w:ascii="Times New Roman" w:hAnsi="Times New Roman" w:hint="eastAsia"/>
          <w:lang w:eastAsia="zh-CN"/>
        </w:rPr>
        <w:t>现场送达方式</w:t>
      </w:r>
      <w:r>
        <w:rPr>
          <w:rFonts w:ascii="Times New Roman" w:hAnsi="Times New Roman" w:hint="eastAsia"/>
        </w:rPr>
        <w:t>，将响应文件送达采购人，</w:t>
      </w:r>
      <w:r>
        <w:rPr>
          <w:rFonts w:ascii="Times New Roman" w:hAnsi="Times New Roman" w:hint="eastAsia"/>
          <w:lang w:val="en-US" w:eastAsia="zh-CN"/>
        </w:rPr>
        <w:t>文件正、副本各1份</w:t>
      </w:r>
      <w:r>
        <w:rPr>
          <w:rFonts w:ascii="Times New Roman" w:hAnsi="Times New Roman" w:hint="eastAsia"/>
        </w:rPr>
        <w:t>。采购人收件信息：</w:t>
      </w:r>
      <w:r>
        <w:rPr>
          <w:rFonts w:ascii="Times New Roman" w:hAnsi="Times New Roman" w:hint="eastAsia"/>
          <w:lang w:eastAsia="zh-CN"/>
        </w:rPr>
        <w:t>滕老师</w:t>
      </w:r>
      <w:r>
        <w:rPr>
          <w:rFonts w:ascii="Times New Roman" w:hAnsi="Times New Roman" w:hint="eastAsia"/>
        </w:rPr>
        <w:t>，023-87912306，重庆市黔江区正阳街道香山路11号黔江海关208室。供应商应充分预留时间，避免由此造成逾期送达。因</w:t>
      </w:r>
      <w:r>
        <w:rPr>
          <w:rFonts w:ascii="Times New Roman" w:hAnsi="Times New Roman" w:hint="eastAsia"/>
          <w:lang w:val="en-US" w:eastAsia="zh-CN"/>
        </w:rPr>
        <w:t>时间</w:t>
      </w:r>
      <w:r>
        <w:rPr>
          <w:rFonts w:ascii="Times New Roman" w:hAnsi="Times New Roman" w:hint="eastAsia"/>
        </w:rPr>
        <w:t>问题出现的逾期后果由供应商自行负责。</w:t>
      </w:r>
    </w:p>
    <w:p>
      <w:pPr>
        <w:pageBreakBefore w:val="0"/>
        <w:widowControl w:val="0"/>
        <w:kinsoku/>
        <w:wordWrap w:val="0"/>
        <w:overflowPunct/>
        <w:topLinePunct w:val="0"/>
        <w:bidi w:val="0"/>
        <w:textAlignment w:val="auto"/>
        <w:rPr>
          <w:rFonts w:ascii="Times New Roman" w:hAnsi="Times New Roman"/>
          <w:lang w:val="en-US" w:eastAsia="zh-CN"/>
        </w:rPr>
      </w:pPr>
      <w:r>
        <w:rPr>
          <w:rFonts w:ascii="Times New Roman" w:hAnsi="Times New Roman" w:hint="eastAsia"/>
        </w:rPr>
        <w:t>3.开标时间：</w:t>
      </w:r>
      <w:r>
        <w:rPr>
          <w:rFonts w:ascii="Times New Roman" w:hAnsi="Times New Roman" w:hint="eastAsia"/>
          <w:color w:val="auto"/>
          <w:lang w:val="en-US" w:eastAsia="zh-CN"/>
          <w:highlight w:val="auto"/>
        </w:rPr>
        <w:t>2026年</w:t>
      </w:r>
      <w:r>
        <w:rPr>
          <w:rFonts w:ascii="Times New Roman" w:hAnsi="Times New Roman" w:hint="eastAsia"/>
          <w:color w:val="auto"/>
          <w:lang w:val="en-US" w:eastAsia="zh-CN"/>
        </w:rPr>
        <w:t>6月23日</w:t>
      </w:r>
    </w:p>
    <w:p>
      <w:pPr>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rPr>
        <w:t>4.开标地点：</w:t>
      </w:r>
      <w:r>
        <w:rPr>
          <w:rFonts w:ascii="Times New Roman" w:hAnsi="Times New Roman" w:hint="eastAsia"/>
          <w:lang w:val="en-US" w:eastAsia="zh-CN"/>
        </w:rPr>
        <w:t>黔江海关三楼会议</w:t>
      </w:r>
      <w:r>
        <w:rPr>
          <w:rFonts w:ascii="Times New Roman" w:hAnsi="Times New Roman" w:hint="eastAsia"/>
        </w:rPr>
        <w:t>室</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5.供应商有下列情况之一，采购人不接受其响应文件：</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（1）逾期送达的或者未送达指定地点的文件；</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（2）未按规定密封文件的。</w:t>
      </w:r>
    </w:p>
    <w:p>
      <w:pPr>
        <w:pageBreakBefore w:val="0"/>
        <w:widowControl w:val="0"/>
        <w:kinsoku/>
        <w:wordWrap w:val="0"/>
        <w:overflowPunct/>
        <w:topLinePunct w:val="0"/>
        <w:bidi w:val="0"/>
        <w:textAlignment w:val="auto"/>
        <w:rPr>
          <w:rFonts w:ascii="Times New Roman" w:hAnsi="Times New Roman"/>
          <w:b/>
          <w:bCs/>
        </w:rPr>
      </w:pPr>
      <w:r>
        <w:rPr>
          <w:rFonts w:ascii="Times New Roman" w:hAnsi="Times New Roman"/>
          <w:b/>
          <w:bCs/>
        </w:rPr>
        <w:t>五、公告期限</w:t>
      </w:r>
    </w:p>
    <w:p>
      <w:pPr>
        <w:pageBreakBefore w:val="0"/>
        <w:widowControl w:val="0"/>
        <w:kinsoku/>
        <w:wordWrap w:val="0"/>
        <w:overflowPunct/>
        <w:topLinePunct w:val="0"/>
        <w:bidi w:val="0"/>
        <w:textAlignment w:val="auto"/>
        <w:rPr>
          <w:rFonts w:ascii="Times New Roman" w:hAnsi="Times New Roman" w:hint="eastAsia"/>
          <w:color w:val="FF0000"/>
        </w:rPr>
      </w:pPr>
      <w:r>
        <w:rPr>
          <w:rFonts w:ascii="Times New Roman" w:hAnsi="Times New Roman" w:hint="eastAsia"/>
        </w:rPr>
        <w:t>自本公告发布之日起至</w:t>
      </w:r>
      <w:r>
        <w:rPr>
          <w:rFonts w:ascii="Times New Roman" w:hAnsi="Times New Roman" w:hint="eastAsia"/>
          <w:color w:val="auto"/>
          <w:lang w:val="en-US" w:eastAsia="zh-CN"/>
        </w:rPr>
        <w:t>2026年6月23日</w:t>
      </w:r>
    </w:p>
    <w:p>
      <w:pPr>
        <w:pageBreakBefore w:val="0"/>
        <w:widowControl w:val="0"/>
        <w:kinsoku/>
        <w:wordWrap w:val="0"/>
        <w:overflowPunct/>
        <w:topLinePunct w:val="0"/>
        <w:bidi w:val="0"/>
        <w:textAlignment w:val="auto"/>
        <w:rPr>
          <w:rFonts w:ascii="Times New Roman" w:hAnsi="Times New Roman"/>
          <w:b/>
          <w:bCs/>
        </w:rPr>
      </w:pPr>
      <w:r>
        <w:rPr>
          <w:rFonts w:ascii="Times New Roman" w:hAnsi="Times New Roman"/>
          <w:b/>
          <w:bCs/>
        </w:rPr>
        <w:t>六、对本次采购提出询问，请按以下方式联系</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1.采购人信息</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名 称：</w:t>
      </w:r>
      <w:r>
        <w:rPr>
          <w:rFonts w:ascii="Times New Roman" w:hAnsi="Times New Roman" w:hint="eastAsia"/>
        </w:rPr>
        <w:t>中华人民共和国</w:t>
      </w:r>
      <w:r>
        <w:rPr>
          <w:rFonts w:ascii="Times New Roman" w:hAnsi="Times New Roman" w:hint="eastAsia"/>
          <w:lang w:val="en-US" w:eastAsia="zh-CN"/>
        </w:rPr>
        <w:t>黔江</w:t>
      </w:r>
      <w:r>
        <w:rPr>
          <w:rFonts w:ascii="Times New Roman" w:hAnsi="Times New Roman" w:hint="eastAsia"/>
        </w:rPr>
        <w:t>海关</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地址：</w:t>
      </w:r>
      <w:r>
        <w:rPr>
          <w:rFonts w:ascii="Times New Roman" w:hAnsi="Times New Roman" w:hint="eastAsia"/>
        </w:rPr>
        <w:t>重庆市黔江区正阳街道积富社区香山路11号</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联系方式：023-</w:t>
      </w:r>
      <w:r>
        <w:rPr>
          <w:rFonts w:ascii="Times New Roman" w:hAnsi="Times New Roman" w:hint="eastAsia"/>
          <w:lang w:val="en-US" w:eastAsia="zh-CN"/>
        </w:rPr>
        <w:t>87912306</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2.项目联系方式</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rPr>
        <w:t>联系人：</w:t>
      </w:r>
      <w:r>
        <w:rPr>
          <w:rFonts w:ascii="Times New Roman" w:hAnsi="Times New Roman" w:hint="eastAsia"/>
          <w:lang w:eastAsia="zh-CN"/>
        </w:rPr>
        <w:t>滕老师</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rPr>
        <w:t>联系电话：023-</w:t>
      </w:r>
      <w:r>
        <w:rPr>
          <w:rFonts w:ascii="Times New Roman" w:hAnsi="Times New Roman" w:hint="eastAsia"/>
          <w:lang w:val="en-US" w:eastAsia="zh-CN"/>
        </w:rPr>
        <w:t>87912306</w:t>
      </w:r>
      <w:r>
        <w:rPr>
          <w:rFonts w:ascii="Times New Roman" w:hAnsi="Times New Roman"/>
        </w:rPr>
        <w:t xml:space="preserve"> </w:t>
      </w:r>
      <w:bookmarkStart w:id="5" w:name="_Toc28359086"/>
      <w:bookmarkStart w:id="6" w:name="_Toc28359009"/>
    </w:p>
    <w:p>
      <w:pPr>
        <w:pageBreakBefore w:val="0"/>
        <w:widowControl w:val="0"/>
        <w:kinsoku/>
        <w:wordWrap w:val="0"/>
        <w:overflowPunct/>
        <w:topLinePunct w:val="0"/>
        <w:bidi w:val="0"/>
        <w:textAlignment w:val="auto"/>
        <w:rPr>
          <w:rFonts w:ascii="Times New Roman" w:hAnsi="Times New Roman"/>
        </w:rPr>
      </w:pPr>
      <w:bookmarkEnd w:id="5"/>
      <w:bookmarkEnd w:id="6"/>
      <w:r>
        <w:rPr>
          <w:rFonts w:ascii="Times New Roman" w:hAnsi="Times New Roman"/>
        </w:rPr>
        <w:br w:type="page"/>
      </w:r>
    </w:p>
    <w:p>
      <w:pPr>
        <w:pStyle w:val="1"/>
        <w:keepNext/>
        <w:keepLines/>
        <w:pageBreakBefore w:val="0"/>
        <w:widowControl w:val="0"/>
        <w:kinsoku/>
        <w:wordWrap w:val="0"/>
        <w:overflowPunct/>
        <w:topLinePunct w:val="0"/>
        <w:bidi w:val="0"/>
        <w:ind w:left="0" w:firstLine="0"/>
        <w:jc w:val="center"/>
        <w:textAlignment w:val="auto"/>
      </w:pPr>
      <w:bookmarkStart w:id="7" w:name="_Toc22483"/>
      <w:r>
        <w:t>第二章 比选须知</w:t>
      </w:r>
      <w:bookmarkEnd w:id="3"/>
      <w:bookmarkEnd w:id="4"/>
      <w:bookmarkEnd w:id="7"/>
    </w:p>
    <w:p>
      <w:pPr>
        <w:pageBreakBefore w:val="0"/>
        <w:widowControl w:val="0"/>
        <w:kinsoku/>
        <w:wordWrap w:val="0"/>
        <w:overflowPunct/>
        <w:topLinePunct w:val="0"/>
        <w:bidi w:val="0"/>
        <w:ind w:left="0" w:firstLineChars="0" w:firstLine="0"/>
        <w:textAlignment w:val="auto"/>
      </w:pPr>
      <w:r>
        <w:rPr>
          <w:rFonts w:hint="eastAsia"/>
          <w:b/>
          <w:bCs/>
          <w:lang w:val="en-US" w:eastAsia="zh-CN"/>
        </w:rPr>
        <w:t>投标人</w:t>
      </w:r>
      <w:r>
        <w:rPr>
          <w:b/>
          <w:bCs/>
        </w:rPr>
        <w:t>须知前附表</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5"/>
        <w:gridCol w:w="1851"/>
        <w:gridCol w:w="6508"/>
      </w:tblGrid>
      <w:tr>
        <w:tc>
          <w:tcPr>
            <w:tcW w:w="855" w:type="dxa"/>
            <w:noWrap/>
            <w:vAlign w:val="center"/>
          </w:tcPr>
          <w:p>
            <w:pPr>
              <w:pStyle w:val="30"/>
              <w:pageBreakBefore w:val="0"/>
              <w:widowControl w:val="0"/>
              <w:kinsoku/>
              <w:wordWrap w:val="0"/>
              <w:overflowPunct/>
              <w:topLinePunct w:val="0"/>
              <w:bidi w:val="0"/>
              <w:jc w:val="center"/>
              <w:textAlignment w:val="auto"/>
              <w:rPr>
                <w:rFonts w:ascii="Times New Roman" w:hAnsi="Times New Roman"/>
                <w:b/>
                <w:bCs/>
              </w:rPr>
            </w:pPr>
            <w:r>
              <w:rPr>
                <w:rFonts w:ascii="Times New Roman" w:hAnsi="Times New Roman" w:hint="eastAsia"/>
                <w:b/>
                <w:bCs/>
              </w:rPr>
              <w:t>条款号</w:t>
            </w:r>
          </w:p>
        </w:tc>
        <w:tc>
          <w:tcPr>
            <w:tcW w:w="1851" w:type="dxa"/>
            <w:noWrap/>
            <w:vAlign w:val="center"/>
          </w:tcPr>
          <w:p>
            <w:pPr>
              <w:pStyle w:val="30"/>
              <w:pageBreakBefore w:val="0"/>
              <w:widowControl w:val="0"/>
              <w:kinsoku/>
              <w:wordWrap w:val="0"/>
              <w:overflowPunct/>
              <w:topLinePunct w:val="0"/>
              <w:bidi w:val="0"/>
              <w:jc w:val="center"/>
              <w:textAlignment w:val="auto"/>
              <w:rPr>
                <w:rFonts w:ascii="Times New Roman" w:hAnsi="Times New Roman"/>
                <w:b/>
                <w:bCs/>
              </w:rPr>
            </w:pPr>
            <w:r>
              <w:rPr>
                <w:rFonts w:ascii="Times New Roman" w:hAnsi="Times New Roman" w:hint="eastAsia"/>
                <w:b/>
                <w:bCs/>
              </w:rPr>
              <w:t>条款名称</w:t>
            </w:r>
          </w:p>
        </w:tc>
        <w:tc>
          <w:tcPr>
            <w:tcW w:w="6508" w:type="dxa"/>
            <w:noWrap/>
            <w:vAlign w:val="center"/>
          </w:tcPr>
          <w:p>
            <w:pPr>
              <w:pStyle w:val="30"/>
              <w:pageBreakBefore w:val="0"/>
              <w:widowControl w:val="0"/>
              <w:kinsoku/>
              <w:wordWrap w:val="0"/>
              <w:overflowPunct/>
              <w:topLinePunct w:val="0"/>
              <w:bidi w:val="0"/>
              <w:jc w:val="center"/>
              <w:textAlignment w:val="auto"/>
              <w:rPr>
                <w:rFonts w:ascii="Times New Roman" w:hAnsi="Times New Roman"/>
                <w:b/>
                <w:bCs/>
              </w:rPr>
            </w:pPr>
            <w:r>
              <w:rPr>
                <w:rFonts w:ascii="Times New Roman" w:hAnsi="Times New Roman" w:hint="eastAsia"/>
                <w:b/>
                <w:bCs/>
              </w:rPr>
              <w:t>编列内容</w:t>
            </w:r>
          </w:p>
        </w:tc>
      </w:tr>
      <w:tr>
        <w:trPr>
          <w:trHeight w:val="1447"/>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1.1.2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招标人</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rPr>
              <w:t>采购方：</w:t>
            </w:r>
            <w:r>
              <w:rPr>
                <w:rFonts w:ascii="Times New Roman" w:hAnsi="Times New Roman" w:hint="eastAsia"/>
                <w:lang w:eastAsia="zh-CN"/>
              </w:rPr>
              <w:t>中华人民共和国黔江海关</w:t>
            </w:r>
          </w:p>
          <w:p>
            <w:pPr>
              <w:pStyle w:val="30"/>
              <w:pageBreakBefore w:val="0"/>
              <w:widowControl w:val="0"/>
              <w:kinsoku/>
              <w:wordWrap w:val="0"/>
              <w:overflowPunct/>
              <w:topLinePunct w:val="0"/>
              <w:bidi w:val="0"/>
              <w:textAlignment w:val="auto"/>
              <w:rPr>
                <w:rFonts w:ascii="Times New Roman" w:eastAsia="宋体" w:hAnsi="Times New Roman"/>
                <w:lang w:val="en-US" w:eastAsia="zh-CN"/>
              </w:rPr>
            </w:pPr>
            <w:r>
              <w:rPr>
                <w:rFonts w:ascii="Times New Roman" w:hAnsi="Times New Roman" w:hint="eastAsia"/>
              </w:rPr>
              <w:t>地　址：重庆市</w:t>
            </w:r>
            <w:r>
              <w:rPr>
                <w:rFonts w:ascii="Times New Roman" w:hAnsi="Times New Roman" w:hint="eastAsia"/>
                <w:lang w:val="en-US" w:eastAsia="zh-CN"/>
              </w:rPr>
              <w:t>黔江区正阳街道积富社区香山路11号</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联系人：</w:t>
            </w:r>
            <w:r>
              <w:rPr>
                <w:rFonts w:ascii="Times New Roman" w:hAnsi="Times New Roman" w:hint="eastAsia"/>
                <w:lang w:val="en-US" w:eastAsia="zh-CN"/>
              </w:rPr>
              <w:t>滕老师</w:t>
            </w:r>
            <w:r>
              <w:rPr>
                <w:rFonts w:ascii="Times New Roman" w:hAnsi="Times New Roman" w:hint="eastAsia"/>
              </w:rPr>
              <w:t xml:space="preserve">         </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电　话：023-</w:t>
            </w:r>
            <w:r>
              <w:rPr>
                <w:rFonts w:ascii="Times New Roman" w:hAnsi="Times New Roman" w:hint="eastAsia"/>
                <w:lang w:val="en-US" w:eastAsia="zh-CN"/>
              </w:rPr>
              <w:t>87912306</w:t>
            </w:r>
            <w:r>
              <w:rPr>
                <w:rFonts w:ascii="Times New Roman" w:hAnsi="Times New Roman" w:hint="eastAsia"/>
              </w:rPr>
              <w:t xml:space="preserve">   </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1.1.3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招标代理机构</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lang w:val="en-US" w:eastAsia="zh-CN"/>
              </w:rPr>
              <w:t>无</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1.1.4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项目名称</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lang w:eastAsia="zh-CN"/>
              </w:rPr>
              <w:t>黔江海关UPS电池更新及监控扩容升级项目</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val="en-US" w:eastAsia="zh-CN"/>
              </w:rPr>
              <w:t>2</w:t>
            </w:r>
            <w:r>
              <w:rPr>
                <w:rFonts w:ascii="Times New Roman" w:hAnsi="Times New Roman" w:hint="eastAsia"/>
              </w:rPr>
              <w:t>.1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招标范围</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eastAsia="zh-CN"/>
              </w:rPr>
              <w:t>黔江海关UPS电池更新及监控扩容升级项目</w:t>
            </w:r>
            <w:r>
              <w:rPr>
                <w:rFonts w:ascii="Times New Roman" w:hAnsi="Times New Roman" w:hint="eastAsia"/>
              </w:rPr>
              <w:t>（具体内容见招标文件第五章技术商务要求）</w:t>
            </w:r>
          </w:p>
        </w:tc>
      </w:tr>
      <w:tr>
        <w:trPr>
          <w:trHeight w:val="884"/>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val="en-US" w:eastAsia="zh-CN"/>
              </w:rPr>
              <w:t>2</w:t>
            </w:r>
            <w:r>
              <w:rPr>
                <w:rFonts w:ascii="Times New Roman" w:hAnsi="Times New Roman" w:hint="eastAsia"/>
              </w:rPr>
              <w:t>.2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服务期限</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 在收到需求后</w:t>
            </w:r>
            <w:r>
              <w:rPr>
                <w:rFonts w:ascii="Times New Roman" w:hAnsi="Times New Roman" w:hint="eastAsia"/>
                <w:lang w:val="en-US" w:eastAsia="zh-CN"/>
              </w:rPr>
              <w:t>30</w:t>
            </w:r>
            <w:r>
              <w:rPr>
                <w:rFonts w:ascii="Times New Roman" w:hAnsi="Times New Roman" w:hint="eastAsia"/>
              </w:rPr>
              <w:t>天（含）内将设备送达需求方现场并完成安装。</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 本次采购的价格有效期自合同签订起一年内有效。</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w:t>
            </w:r>
            <w:r>
              <w:rPr>
                <w:rFonts w:ascii="Times New Roman" w:hAnsi="Times New Roman" w:hint="eastAsia"/>
                <w:lang w:val="en-US" w:eastAsia="zh-CN"/>
              </w:rPr>
              <w:t>2</w:t>
            </w:r>
            <w:r>
              <w:rPr>
                <w:rFonts w:ascii="Times New Roman" w:hAnsi="Times New Roman" w:hint="eastAsia"/>
              </w:rPr>
              <w:t>.3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服务指标</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满足国家相关规定要求及招标文件第五章技术商务要求。（详见第五章技术商务要求）</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val="en-US" w:eastAsia="zh-CN"/>
              </w:rPr>
              <w:t>2</w:t>
            </w:r>
            <w:r>
              <w:rPr>
                <w:rFonts w:ascii="Times New Roman" w:hAnsi="Times New Roman" w:hint="eastAsia"/>
              </w:rPr>
              <w:t>.4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服务地点</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lang w:val="en-US" w:eastAsia="zh-CN"/>
              </w:rPr>
            </w:pPr>
            <w:r>
              <w:rPr>
                <w:rFonts w:ascii="Times New Roman" w:hAnsi="Times New Roman" w:hint="eastAsia"/>
              </w:rPr>
              <w:t>重庆市</w:t>
            </w:r>
            <w:r>
              <w:rPr>
                <w:rFonts w:ascii="Times New Roman" w:hAnsi="Times New Roman" w:hint="eastAsia"/>
                <w:lang w:val="en-US" w:eastAsia="zh-CN"/>
              </w:rPr>
              <w:t>黔江区正阳街道积富社区香山路11号黔江海关</w:t>
            </w:r>
          </w:p>
        </w:tc>
      </w:tr>
      <w:tr>
        <w:trPr>
          <w:trHeight w:val="9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val="en-US" w:eastAsia="zh-CN"/>
              </w:rPr>
              <w:t>3</w:t>
            </w:r>
            <w:r>
              <w:rPr>
                <w:rFonts w:ascii="Times New Roman" w:hAnsi="Times New Roman" w:hint="eastAsia"/>
              </w:rPr>
              <w:t>.1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投标人资格资质要求</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本次招标实行资格后审，投标人应满足下列条件：</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具有独立承担民事责任的能力〔投标人应提供合法有效的营业执照复印件或扫描件并加盖投标人公章；不具备独立承担民事责任能力的，还需要提供具有独立承担民事责任能力的总公司对本项目的授权（提供总公司有效的营业执照复印件或扫描件及授权书并加盖投标人公章）〕；</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2.具有良好的商业信誉和健全的财务会计制度（投标人应提供具有良好的商业信誉和健全的财务会计制度的书面承诺并加盖投标人公章）；</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3.有依法缴纳税收和社会保障资金的良好记录（投标人应提供有依法缴纳税收和社会保障资金的良好记录的书面承诺并加盖投标人公章，以及在信用中国网站（https://www.creditchina.gov.cn/）中重大税收违法失信主体的查询结果截图并加盖投标人公章）；</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4.投标人不得存在的其他情形之一：</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（1）与采购人存在利害关系且可能影响采购活动公正性；</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（2）与本采购项目的其他响应方为同一个单位负责人；</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（3）与本采购项目的其他响应方存在控股、管理关系；</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（4）被依法暂停或者取消投标资格；</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（5）被其他采购方列入黑名单并在其官网公布；</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（6）被责令停产停业、暂扣或者吊销许可证、暂扣或者吊销执照；</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（7）进入清算程序，或被宣告破产，或其他丧失履约能力的情形；</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（8）在最近三年内发生重大产品质量问题；</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（9）被市场监督管理机关在全国企业信用信息公示系统中列入经营异常、严重违法失信企业名单；</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（10）被列为失信被执行人名单；</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lang w:eastAsia="zh-CN"/>
              </w:rPr>
              <w:t>（1</w:t>
            </w:r>
            <w:r>
              <w:rPr>
                <w:rFonts w:ascii="Times New Roman" w:hAnsi="Times New Roman" w:hint="eastAsia"/>
                <w:lang w:val="en-US" w:eastAsia="zh-CN"/>
              </w:rPr>
              <w:t>1</w:t>
            </w:r>
            <w:r>
              <w:rPr>
                <w:rFonts w:ascii="Times New Roman" w:hAnsi="Times New Roman" w:hint="eastAsia"/>
                <w:lang w:eastAsia="zh-CN"/>
              </w:rPr>
              <w:t>）所属行业属于“两高一剩”行业；</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w:t>
            </w:r>
            <w:r>
              <w:rPr>
                <w:rFonts w:ascii="Times New Roman" w:hAnsi="Times New Roman" w:hint="eastAsia"/>
                <w:lang w:val="en-US" w:eastAsia="zh-CN"/>
              </w:rPr>
              <w:t>2</w:t>
            </w:r>
            <w:r>
              <w:rPr>
                <w:rFonts w:ascii="Times New Roman" w:hAnsi="Times New Roman" w:hint="eastAsia"/>
              </w:rPr>
              <w:t>）法律法规规定的其他情形。</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投标人应提供不存在以上情形的书面承诺并加盖投标人公章，以及国家企业信用信息公示系统（https</w:t>
            </w:r>
            <w:r>
              <w:rPr>
                <w:rFonts w:ascii="Times New Roman" w:hAnsi="Times New Roman" w:hint="eastAsia"/>
                <w:lang w:eastAsia="zh-CN"/>
              </w:rPr>
              <w:t>：</w:t>
            </w:r>
            <w:r>
              <w:rPr>
                <w:rFonts w:ascii="Times New Roman" w:hAnsi="Times New Roman" w:hint="eastAsia"/>
              </w:rPr>
              <w:t>//www.gsxt.gov.cn/index.html）中经营异常名录、严重违法失信名单的查询结果截图并加盖投标人公章，中国执行信息公开网（https</w:t>
            </w:r>
            <w:r>
              <w:rPr>
                <w:rFonts w:ascii="Times New Roman" w:hAnsi="Times New Roman" w:hint="eastAsia"/>
                <w:lang w:eastAsia="zh-CN"/>
              </w:rPr>
              <w:t>：</w:t>
            </w:r>
            <w:r>
              <w:rPr>
                <w:rFonts w:ascii="Times New Roman" w:hAnsi="Times New Roman" w:hint="eastAsia"/>
              </w:rPr>
              <w:t>//zxgk.court.gov.cn/shixin/）中失信被执行人名单的查询结果截图并加盖投标人公章。</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val="en-US" w:eastAsia="zh-CN"/>
              </w:rPr>
              <w:t>3</w:t>
            </w:r>
            <w:r>
              <w:rPr>
                <w:rFonts w:ascii="Times New Roman" w:hAnsi="Times New Roman" w:hint="eastAsia"/>
              </w:rPr>
              <w:t>.2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是否接受联合体投标</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不接受</w:t>
            </w:r>
          </w:p>
        </w:tc>
      </w:tr>
      <w:tr>
        <w:trPr>
          <w:trHeight w:val="586"/>
        </w:trP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rPr>
              <w:t>1.</w:t>
            </w:r>
            <w:r>
              <w:rPr>
                <w:rFonts w:ascii="Times New Roman" w:hAnsi="Times New Roman" w:hint="eastAsia"/>
                <w:lang w:val="en-US" w:eastAsia="zh-CN"/>
              </w:rPr>
              <w:t>9</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rPr>
              <w:t>投标预备会</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不召开</w:t>
            </w:r>
          </w:p>
        </w:tc>
      </w:tr>
      <w:tr>
        <w:trPr>
          <w:trHeight w:val="553"/>
        </w:trP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rPr>
              <w:t>1.1</w:t>
            </w:r>
            <w:r>
              <w:rPr>
                <w:rFonts w:ascii="Times New Roman" w:hAnsi="Times New Roman" w:hint="eastAsia"/>
                <w:lang w:val="en-US" w:eastAsia="zh-CN"/>
              </w:rPr>
              <w:t>0</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分包</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不允许</w:t>
            </w:r>
          </w:p>
        </w:tc>
      </w:tr>
      <w:tr>
        <w:trPr>
          <w:trHeight w:val="9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构成招标文件的其他材料</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招标人对招标文件所作的澄清、修改及招标人发出的答疑及补遗书等。</w:t>
            </w:r>
          </w:p>
        </w:tc>
      </w:tr>
      <w:tr>
        <w:trPr>
          <w:trHeight w:val="90"/>
        </w:trPr>
        <w:tc>
          <w:tcPr>
            <w:tcW w:w="855" w:type="dxa"/>
            <w:vMerge w:val="restart"/>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投标人提出问题的截止时间</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投标人提出问题的截止时间</w:t>
            </w:r>
            <w:r>
              <w:rPr>
                <w:rFonts w:ascii="Times New Roman" w:hAnsi="Times New Roman" w:hint="eastAsia"/>
                <w:color w:val="auto"/>
              </w:rPr>
              <w:t>：202</w:t>
            </w:r>
            <w:r>
              <w:rPr>
                <w:rFonts w:ascii="Times New Roman" w:hAnsi="Times New Roman" w:hint="eastAsia"/>
                <w:color w:val="auto"/>
                <w:lang w:val="en-US" w:eastAsia="zh-CN"/>
              </w:rPr>
              <w:t>6</w:t>
            </w:r>
            <w:r>
              <w:rPr>
                <w:rFonts w:ascii="Times New Roman" w:hAnsi="Times New Roman" w:hint="eastAsia"/>
                <w:color w:val="auto"/>
              </w:rPr>
              <w:t>年</w:t>
            </w:r>
            <w:r>
              <w:rPr>
                <w:rFonts w:hint="eastAsia"/>
                <w:color w:val="auto"/>
                <w:lang w:val="en-US" w:eastAsia="zh-CN"/>
              </w:rPr>
              <w:t>6</w:t>
            </w:r>
            <w:r>
              <w:rPr>
                <w:rFonts w:ascii="Times New Roman" w:hAnsi="Times New Roman" w:hint="eastAsia"/>
                <w:color w:val="auto"/>
              </w:rPr>
              <w:t>月</w:t>
            </w:r>
            <w:r>
              <w:rPr>
                <w:rFonts w:hint="eastAsia"/>
                <w:color w:val="auto"/>
                <w:lang w:val="en-US" w:eastAsia="zh-CN"/>
              </w:rPr>
              <w:t>1</w:t>
            </w:r>
            <w:r>
              <w:rPr>
                <w:color w:val="auto"/>
                <w:lang w:val="en-US" w:eastAsia="zh-CN"/>
              </w:rPr>
              <w:t>8</w:t>
            </w:r>
            <w:r>
              <w:rPr>
                <w:rFonts w:ascii="Times New Roman" w:hAnsi="Times New Roman" w:hint="eastAsia"/>
                <w:color w:val="auto"/>
              </w:rPr>
              <w:t>日11时</w:t>
            </w:r>
            <w:r>
              <w:rPr>
                <w:rFonts w:ascii="Times New Roman" w:hAnsi="Times New Roman" w:hint="eastAsia"/>
              </w:rPr>
              <w:t>前(北京时间)；投标人在收到招标文件后，应仔细检查招标文件的所有内容，如有残缺或文字表述不清以及存在错、碰、漏、缺、概念模糊和有可能出现歧义或理解上的偏差的内容等应在上述时间前</w:t>
            </w:r>
            <w:r>
              <w:rPr>
                <w:rFonts w:ascii="Times New Roman" w:hAnsi="Times New Roman" w:hint="eastAsia"/>
                <w:lang w:val="en-US" w:eastAsia="zh-CN"/>
              </w:rPr>
              <w:t>拨打023-87912306电话</w:t>
            </w:r>
            <w:r>
              <w:rPr>
                <w:rFonts w:ascii="Times New Roman" w:hAnsi="Times New Roman" w:hint="eastAsia"/>
              </w:rPr>
              <w:t>提问。</w:t>
            </w:r>
          </w:p>
        </w:tc>
      </w:tr>
      <w:tr>
        <w:tc>
          <w:tcPr>
            <w:tcW w:w="855" w:type="dxa"/>
            <w:vMerge/>
            <w:noWrap/>
            <w:vAlign w:val="center"/>
          </w:tcP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招标人澄清的时间</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招标人澄清的时间：</w:t>
            </w:r>
            <w:r>
              <w:rPr>
                <w:rFonts w:ascii="Times New Roman" w:hAnsi="Times New Roman" w:hint="eastAsia"/>
                <w:color w:val="auto"/>
              </w:rPr>
              <w:t>202</w:t>
            </w:r>
            <w:r>
              <w:rPr>
                <w:rFonts w:ascii="Times New Roman" w:hAnsi="Times New Roman" w:hint="eastAsia"/>
                <w:color w:val="auto"/>
                <w:lang w:val="en-US" w:eastAsia="zh-CN"/>
              </w:rPr>
              <w:t>6</w:t>
            </w:r>
            <w:r>
              <w:rPr>
                <w:rFonts w:ascii="Times New Roman" w:hAnsi="Times New Roman" w:hint="eastAsia"/>
                <w:color w:val="auto"/>
              </w:rPr>
              <w:t>年</w:t>
            </w:r>
            <w:r>
              <w:rPr>
                <w:rFonts w:hint="eastAsia"/>
                <w:color w:val="auto"/>
                <w:lang w:val="en-US" w:eastAsia="zh-CN"/>
              </w:rPr>
              <w:t>6</w:t>
            </w:r>
            <w:r>
              <w:rPr>
                <w:rFonts w:ascii="Times New Roman" w:hAnsi="Times New Roman" w:hint="eastAsia"/>
                <w:color w:val="auto"/>
              </w:rPr>
              <w:t>月</w:t>
            </w:r>
            <w:r>
              <w:rPr>
                <w:rFonts w:hint="eastAsia"/>
                <w:color w:val="auto"/>
                <w:lang w:val="en-US" w:eastAsia="zh-CN"/>
              </w:rPr>
              <w:t>1</w:t>
            </w:r>
            <w:r>
              <w:rPr>
                <w:color w:val="auto"/>
                <w:lang w:val="en-US" w:eastAsia="zh-CN"/>
              </w:rPr>
              <w:t>9</w:t>
            </w:r>
            <w:r>
              <w:rPr>
                <w:rFonts w:ascii="Times New Roman" w:hAnsi="Times New Roman" w:hint="eastAsia"/>
                <w:color w:val="auto"/>
              </w:rPr>
              <w:t>日1</w:t>
            </w:r>
            <w:r>
              <w:rPr>
                <w:rFonts w:hint="eastAsia"/>
                <w:color w:val="auto"/>
                <w:lang w:val="en-US" w:eastAsia="zh-CN"/>
              </w:rPr>
              <w:t>8</w:t>
            </w:r>
            <w:r>
              <w:rPr>
                <w:rFonts w:ascii="Times New Roman" w:hAnsi="Times New Roman" w:hint="eastAsia"/>
                <w:color w:val="auto"/>
              </w:rPr>
              <w:t>时前(北京</w:t>
            </w:r>
            <w:r>
              <w:rPr>
                <w:rFonts w:ascii="Times New Roman" w:hAnsi="Times New Roman" w:hint="eastAsia"/>
              </w:rPr>
              <w:t>时间)；</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（1）不论是招标人根据需要主动对招标文件进行必要的澄清或是根据投标人的质疑对招标文件做出澄清，招标人都将按投标人须知前附表所明确的时间予以答复。招标人有关</w:t>
            </w:r>
            <w:bookmarkStart w:id="8" w:name="_GoBack"/>
            <w:bookmarkEnd w:id="8"/>
            <w:r>
              <w:rPr>
                <w:rFonts w:ascii="Times New Roman" w:hAnsi="Times New Roman" w:hint="eastAsia"/>
              </w:rPr>
              <w:t>澄清招标文件的答疑将作为招标文件的合法组成部分，对投标人起约束作用。与本项目无关的问题不予作答。</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（2）未提出投标质疑不作为否定投标人资格的理由。</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（3）招标人澄清在</w:t>
            </w:r>
            <w:r>
              <w:rPr>
                <w:rFonts w:ascii="Times New Roman" w:hAnsi="Times New Roman" w:hint="eastAsia"/>
                <w:lang w:eastAsia="zh-CN"/>
              </w:rPr>
              <w:t>《</w:t>
            </w:r>
            <w:r>
              <w:rPr>
                <w:rFonts w:ascii="Times New Roman" w:hAnsi="Times New Roman" w:hint="eastAsia"/>
                <w:lang w:val="en-US" w:eastAsia="zh-CN"/>
              </w:rPr>
              <w:t>重庆海关官网</w:t>
            </w:r>
            <w:r>
              <w:rPr>
                <w:rFonts w:ascii="Times New Roman" w:hAnsi="Times New Roman" w:hint="eastAsia"/>
                <w:lang w:eastAsia="zh-CN"/>
              </w:rPr>
              <w:t>》</w:t>
            </w:r>
            <w:r>
              <w:rPr>
                <w:rFonts w:ascii="Times New Roman" w:hAnsi="Times New Roman" w:hint="eastAsia"/>
                <w:lang w:val="en-US" w:eastAsia="zh-CN"/>
              </w:rPr>
              <w:t>上</w:t>
            </w:r>
            <w:r>
              <w:rPr>
                <w:rFonts w:ascii="Times New Roman" w:hAnsi="Times New Roman" w:hint="eastAsia"/>
              </w:rPr>
              <w:t>发布。</w:t>
            </w:r>
          </w:p>
        </w:tc>
      </w:tr>
      <w:tr>
        <w:trPr>
          <w:trHeight w:val="576"/>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投标截止时间</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color w:val="auto"/>
                <w:lang w:val="en-US" w:eastAsia="zh-CN"/>
              </w:rPr>
              <w:t>2026</w:t>
            </w:r>
            <w:r>
              <w:rPr>
                <w:rFonts w:ascii="Times New Roman" w:hAnsi="Times New Roman" w:hint="eastAsia"/>
                <w:color w:val="auto"/>
              </w:rPr>
              <w:t>年</w:t>
            </w:r>
            <w:r>
              <w:rPr>
                <w:rFonts w:hint="eastAsia"/>
                <w:color w:val="auto"/>
                <w:lang w:val="en-US" w:eastAsia="zh-CN"/>
              </w:rPr>
              <w:t>6月23日</w:t>
            </w:r>
            <w:r>
              <w:rPr>
                <w:rFonts w:ascii="Times New Roman" w:hAnsi="Times New Roman" w:hint="eastAsia"/>
                <w:color w:val="auto"/>
                <w:lang w:val="en-US" w:eastAsia="zh-CN"/>
              </w:rPr>
              <w:t>10</w:t>
            </w:r>
            <w:r>
              <w:rPr>
                <w:rFonts w:ascii="Times New Roman" w:hAnsi="Times New Roman" w:hint="eastAsia"/>
                <w:color w:val="auto"/>
                <w:lang w:eastAsia="zh-CN"/>
              </w:rPr>
              <w:t>：</w:t>
            </w:r>
            <w:r>
              <w:rPr>
                <w:rFonts w:ascii="Times New Roman" w:hAnsi="Times New Roman" w:hint="eastAsia"/>
                <w:color w:val="auto"/>
              </w:rPr>
              <w:t>00</w:t>
            </w:r>
            <w:r>
              <w:rPr>
                <w:rFonts w:hint="eastAsia"/>
                <w:color w:val="auto"/>
                <w:lang w:val="en-US" w:eastAsia="zh-CN"/>
              </w:rPr>
              <w:t>至</w:t>
            </w:r>
            <w:r>
              <w:rPr>
                <w:rFonts w:ascii="Times New Roman" w:hAnsi="Times New Roman" w:hint="eastAsia"/>
                <w:color w:val="auto"/>
                <w:lang w:val="en-US" w:eastAsia="zh-CN"/>
              </w:rPr>
              <w:t>10</w:t>
            </w:r>
            <w:r>
              <w:rPr>
                <w:rFonts w:ascii="Times New Roman" w:hAnsi="Times New Roman" w:hint="eastAsia"/>
                <w:color w:val="auto"/>
                <w:lang w:eastAsia="zh-CN"/>
              </w:rPr>
              <w:t>：</w:t>
            </w:r>
            <w:r>
              <w:rPr>
                <w:rFonts w:hint="eastAsia"/>
                <w:color w:val="auto"/>
                <w:lang w:val="en-US" w:eastAsia="zh-CN"/>
              </w:rPr>
              <w:t>3</w:t>
            </w:r>
            <w:r>
              <w:rPr>
                <w:rFonts w:ascii="Times New Roman" w:hAnsi="Times New Roman" w:hint="eastAsia"/>
                <w:color w:val="auto"/>
              </w:rPr>
              <w:t>0（北京时间）</w:t>
            </w:r>
            <w:r>
              <w:rPr>
                <w:rFonts w:ascii="Times New Roman" w:hAnsi="Times New Roman" w:hint="eastAsia"/>
                <w:color w:val="auto"/>
                <w:lang w:eastAsia="zh-CN"/>
              </w:rPr>
              <w:t>。</w:t>
            </w:r>
          </w:p>
        </w:tc>
      </w:tr>
      <w:tr>
        <w:trPr>
          <w:trHeight w:val="9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投标人确认收到招标文件修改的时间</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招标人对投标文件做出的答疑、补遗及通知，无论投标人是否下载查阅，均视为已知晓招标人对招标文件内容所进行的修改。</w:t>
            </w:r>
          </w:p>
        </w:tc>
      </w:tr>
      <w:tr>
        <w:trPr>
          <w:trHeight w:val="38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rPr>
              <w:t>2.2.4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投标人</w:t>
            </w:r>
            <w:r>
              <w:rPr>
                <w:rFonts w:ascii="Times New Roman" w:hAnsi="Times New Roman"/>
              </w:rPr>
              <w:t>对</w:t>
            </w:r>
            <w:r>
              <w:rPr>
                <w:rFonts w:ascii="Times New Roman" w:hAnsi="Times New Roman" w:hint="eastAsia"/>
              </w:rPr>
              <w:t>招标文件</w:t>
            </w:r>
            <w:r>
              <w:rPr>
                <w:rFonts w:ascii="Times New Roman" w:hAnsi="Times New Roman"/>
              </w:rPr>
              <w:t>及答疑补遗提出异议的截止时间</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lang w:val="en-US" w:eastAsia="zh-CN"/>
              </w:rPr>
              <w:t>投标人对招标文件如有异议，应在投标截止时间前第4日 17:00前以书面形式通知招标人。招标人将在收到异议后1日内作出答复；如答复涉及实质性变更，将以补遗形式发布。补遗内容可能影响投标文件编制的（如技术参数、报价清单、评审标准等），招标人最迟应在投标截止时间前第3日 17:00前发布。若因特殊原因必须发布实质性补遗且发布时间距投标截止不足3日，为保障供应商准备时间，招标人将相应顺延投标截止时间（通常顺延3个日历日）并予以公告。</w:t>
            </w:r>
          </w:p>
        </w:tc>
      </w:tr>
      <w:tr>
        <w:trPr>
          <w:trHeight w:val="589"/>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投标报价</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1.投标报价限价</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（1）本项目总价最高限价大写：【</w:t>
            </w:r>
            <w:r>
              <w:rPr>
                <w:rFonts w:ascii="Times New Roman" w:hAnsi="Times New Roman" w:hint="eastAsia"/>
                <w:lang w:val="en-US" w:eastAsia="zh-CN"/>
              </w:rPr>
              <w:t>壹拾肆万肆仟叁佰</w:t>
            </w:r>
            <w:r>
              <w:rPr>
                <w:rFonts w:ascii="Times New Roman" w:hAnsi="Times New Roman" w:hint="eastAsia"/>
              </w:rPr>
              <w:t>元整】（小写：【</w:t>
            </w:r>
            <w:r>
              <w:rPr>
                <w:rFonts w:ascii="Times New Roman" w:hAnsi="Times New Roman" w:hint="eastAsia"/>
                <w:lang w:val="en-US" w:eastAsia="zh-CN"/>
              </w:rPr>
              <w:t>144300</w:t>
            </w:r>
            <w:r>
              <w:rPr>
                <w:rFonts w:ascii="Times New Roman" w:hAnsi="Times New Roman" w:hint="eastAsia"/>
              </w:rPr>
              <w:t>.00元】）。</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投标人报价不得超过最高限价，否则其投标文件将被否决。</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2.报价要求。</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投标人的投标报价为含税包干价，其包含完成本招标文件规定的招标范围所有工作内容的全部费用，招标人不再额外支付其他任何费用。因中标人自身原因造成漏报、少报皆由其自行承担责任，招标人不再补偿。</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3.投标货币：人民币</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3.3.1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投标有效期</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90日历天（从提交投标文件截止日起计算）</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投标保证金</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lang w:val="en-US" w:eastAsia="zh-CN"/>
              </w:rPr>
            </w:pPr>
            <w:r>
              <w:rPr>
                <w:rFonts w:ascii="Times New Roman" w:hAnsi="Times New Roman" w:hint="eastAsia"/>
                <w:lang w:val="en-US" w:eastAsia="zh-CN"/>
              </w:rPr>
              <w:t>无</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3.5</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资格审查资料</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本须知前附表第1.4.1项规定提供的资料。</w:t>
            </w:r>
          </w:p>
        </w:tc>
      </w:tr>
      <w:tr>
        <w:trPr>
          <w:trHeight w:val="598"/>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3.6</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是否允许递交备选投标方案</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不允许</w:t>
            </w:r>
          </w:p>
        </w:tc>
      </w:tr>
      <w:tr>
        <w:trPr>
          <w:trHeight w:val="268"/>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3.7.3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签字盖章要求</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投标函部分、技术商务部分（资格审查资料）投标资料正本均按招标文件要求加盖投标人单位的公章，</w:t>
            </w:r>
            <w:r>
              <w:rPr>
                <w:rFonts w:ascii="Times New Roman" w:hAnsi="Times New Roman" w:hint="eastAsia"/>
                <w:strike w:val="0"/>
                <w:dstrike w:val="0"/>
                <w:color w:val="auto"/>
              </w:rPr>
              <w:t>副本可为正本的复印件，</w:t>
            </w:r>
            <w:r>
              <w:rPr>
                <w:rFonts w:ascii="Times New Roman" w:hAnsi="Times New Roman" w:hint="eastAsia"/>
              </w:rPr>
              <w:t>法定代表人或其委托代理人签字（签章）处按招标文件格式相应位置按其要求签字或签章，投标文件应用不褪色的材料书写或打印。委托代理人签字或签章的，投标文件应附法定代表人签署的授权委托书。投标文件应尽量避免涂改、行间插字或删除。如果出现上述情况，改动之处应加盖单位公章或由投标人的法定代表人或其授权的代理人签字（签章）确认。投标人不按要求签字盖章的其投标文件将被否决。</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val="en-US" w:eastAsia="zh-CN"/>
              </w:rPr>
            </w:pPr>
            <w:r>
              <w:rPr>
                <w:rFonts w:ascii="Times New Roman" w:hAnsi="Times New Roman" w:hint="eastAsia"/>
              </w:rPr>
              <w:t>3</w:t>
            </w:r>
            <w:r>
              <w:rPr>
                <w:rFonts w:ascii="Times New Roman" w:eastAsia="宋体" w:hAnsi="Times New Roman" w:hint="eastAsia"/>
              </w:rPr>
              <w:t>.7</w:t>
            </w:r>
            <w:r>
              <w:rPr>
                <w:rFonts w:ascii="Times New Roman" w:eastAsia="宋体" w:hAnsi="Times New Roman" w:hint="eastAsia"/>
                <w:lang w:val="en-US" w:eastAsia="zh-CN"/>
              </w:rPr>
              <w:t>.4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投标文件的份数及装订要求</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lang w:eastAsia="zh-CN"/>
              </w:rPr>
            </w:pPr>
            <w:r>
              <w:rPr>
                <w:rFonts w:ascii="Times New Roman" w:hAnsi="Times New Roman" w:hint="eastAsia"/>
              </w:rPr>
              <w:t>投标文件份数：提供正本1份，副本</w:t>
            </w:r>
            <w:r>
              <w:rPr>
                <w:rFonts w:ascii="Times New Roman" w:hAnsi="Times New Roman" w:hint="eastAsia"/>
                <w:lang w:val="en-US" w:eastAsia="zh-CN"/>
              </w:rPr>
              <w:t>1</w:t>
            </w:r>
            <w:r>
              <w:rPr>
                <w:rFonts w:ascii="Times New Roman" w:hAnsi="Times New Roman" w:hint="eastAsia"/>
              </w:rPr>
              <w:t>份</w:t>
            </w:r>
            <w:r>
              <w:rPr>
                <w:rFonts w:ascii="Times New Roman" w:hAnsi="Times New Roman" w:hint="eastAsia"/>
                <w:lang w:eastAsia="zh-CN"/>
              </w:rPr>
              <w:t>。</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投标文件应包含完整的全套内容</w:t>
            </w:r>
            <w:r>
              <w:rPr>
                <w:rFonts w:ascii="Times New Roman" w:eastAsia="宋体" w:cs="宋体" w:hAnsi="Times New Roman" w:hint="eastAsia"/>
              </w:rPr>
              <w:t>﹝</w:t>
            </w:r>
            <w:r>
              <w:rPr>
                <w:rFonts w:ascii="Times New Roman" w:hAnsi="Times New Roman" w:hint="eastAsia"/>
              </w:rPr>
              <w:t>投标函部分、技术商务部分（资格审查资料）</w:t>
            </w:r>
            <w:r>
              <w:rPr>
                <w:rFonts w:ascii="Times New Roman" w:eastAsia="宋体" w:cs="宋体" w:hAnsi="Times New Roman" w:hint="eastAsia"/>
              </w:rPr>
              <w:t>﹞</w:t>
            </w:r>
            <w:r>
              <w:rPr>
                <w:rFonts w:ascii="Times New Roman" w:hAnsi="Times New Roman" w:hint="eastAsia"/>
              </w:rPr>
              <w:t>，并装订成册；</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投标人不按要求提供的其投标文件将被否决。</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说明：投标单位根据制作的投标文件厚度自行决定装订成册一本或多本，如投标文件需装订成册多本，投标文件封面可以标注分册信息（标注分册信息满足投标文件格式要求）。</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 xml:space="preserve"> 4.1.1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投标文件的密封</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1、投标文件袋使用“投标文件”大袋或箱或盒。</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2、投标文件密封并在大袋或箱或盒上加盖投标人单位公章。同时“投标文件”大袋或箱或盒应按本表第4.1.2项的规定写明相应内容，“投标文件”大袋或箱或盒未按要求密封招标人有权拒绝接收。</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说明：如文本较多，一个密封袋或箱或盒等装不下的，可用多个袋或箱或盒等进行封装。</w:t>
            </w:r>
          </w:p>
        </w:tc>
      </w:tr>
      <w:tr>
        <w:trPr>
          <w:trHeight w:val="2456"/>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4.1.2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封套上写明</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投标文件封套上标明以下内容：</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（1）招标人名称：</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（2）投标人名称：</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（3）项目名称：</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4.2.2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递交投标文件地点</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递交地点：</w:t>
            </w:r>
            <w:r>
              <w:rPr>
                <w:rFonts w:ascii="Times New Roman" w:hAnsi="Times New Roman" w:hint="eastAsia"/>
                <w:lang w:val="en-US" w:eastAsia="zh-CN"/>
              </w:rPr>
              <w:t>中华人民共和国黔江海关（重庆市黔江区正阳街道香山路11号）208办公室。</w:t>
            </w:r>
          </w:p>
        </w:tc>
      </w:tr>
      <w:tr>
        <w:trPr>
          <w:trHeight w:val="544"/>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4.2.3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是否退还投标文件</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否</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val="en-US" w:eastAsia="zh-CN"/>
              </w:rPr>
              <w:t>5</w:t>
            </w:r>
            <w:r>
              <w:rPr>
                <w:rFonts w:ascii="Times New Roman" w:hAnsi="Times New Roman" w:hint="eastAsia"/>
              </w:rPr>
              <w:t>.1.1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eastAsia="zh-CN"/>
              </w:rPr>
              <w:t>评审小组</w:t>
            </w:r>
            <w:r>
              <w:rPr>
                <w:rFonts w:ascii="Times New Roman" w:hAnsi="Times New Roman" w:hint="eastAsia"/>
              </w:rPr>
              <w:t>的组建</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w:t>
            </w:r>
            <w:r>
              <w:rPr>
                <w:rFonts w:ascii="Times New Roman" w:hAnsi="Times New Roman" w:hint="eastAsia"/>
                <w:lang w:eastAsia="zh-CN"/>
              </w:rPr>
              <w:t>评审小组</w:t>
            </w:r>
            <w:r>
              <w:rPr>
                <w:rFonts w:ascii="Times New Roman" w:hAnsi="Times New Roman" w:hint="eastAsia"/>
              </w:rPr>
              <w:t>构成：共 5 人。</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2.评标</w:t>
            </w:r>
            <w:r>
              <w:rPr>
                <w:rFonts w:ascii="Times New Roman" w:hAnsi="Times New Roman" w:hint="eastAsia"/>
                <w:lang w:val="en-US" w:eastAsia="zh-CN"/>
              </w:rPr>
              <w:t>小组</w:t>
            </w:r>
            <w:r>
              <w:rPr>
                <w:rFonts w:ascii="Times New Roman" w:hAnsi="Times New Roman" w:hint="eastAsia"/>
              </w:rPr>
              <w:t>：</w:t>
            </w:r>
            <w:r>
              <w:rPr>
                <w:rFonts w:ascii="Times New Roman" w:hAnsi="Times New Roman" w:hint="eastAsia"/>
                <w:lang w:val="en-US" w:eastAsia="zh-CN"/>
              </w:rPr>
              <w:t>招标单位评审小组成员</w:t>
            </w:r>
            <w:r>
              <w:rPr>
                <w:rFonts w:ascii="Times New Roman" w:hAnsi="Times New Roman" w:hint="eastAsia"/>
              </w:rPr>
              <w:t>。</w:t>
            </w:r>
          </w:p>
        </w:tc>
      </w:tr>
      <w:tr>
        <w:trPr>
          <w:trHeight w:val="21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val="en-US" w:eastAsia="zh-CN"/>
              </w:rPr>
              <w:t>6</w:t>
            </w:r>
            <w:r>
              <w:rPr>
                <w:rFonts w:ascii="Times New Roman" w:hAnsi="Times New Roman" w:hint="eastAsia"/>
              </w:rPr>
              <w:t>.1.1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是否授权</w:t>
            </w:r>
            <w:r>
              <w:rPr>
                <w:rFonts w:ascii="Times New Roman" w:hAnsi="Times New Roman" w:hint="eastAsia"/>
                <w:lang w:eastAsia="zh-CN"/>
              </w:rPr>
              <w:t>评审小组</w:t>
            </w:r>
            <w:r>
              <w:rPr>
                <w:rFonts w:ascii="Times New Roman" w:hAnsi="Times New Roman" w:hint="eastAsia"/>
              </w:rPr>
              <w:t>确定投标人</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中标人数量：1名</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否，推荐经评审合格的综合得分由高到低排名前三名为中标候选人。</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lang w:val="en-US" w:eastAsia="zh-CN"/>
              </w:rPr>
              <w:t>6</w:t>
            </w:r>
            <w:r>
              <w:rPr>
                <w:rFonts w:ascii="Times New Roman" w:hAnsi="Times New Roman" w:hint="eastAsia"/>
              </w:rPr>
              <w:t>.3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签订合同</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7.3.3中标后，招标人有权对各投标人投标时响应的商务、技术进行实地考察，若经考察发现有虚假行为，根据相关法律法规进行相应处罚。</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7.3.4因中标人自身原因被终止合同的，招标人有权根据中标候选人替补或重新招标。</w:t>
            </w:r>
          </w:p>
        </w:tc>
      </w:tr>
      <w:tr>
        <w:trPr>
          <w:trHeight w:val="9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lang w:val="en-US" w:eastAsia="zh-CN"/>
              </w:rPr>
              <w:t>6</w:t>
            </w:r>
            <w:r>
              <w:rPr>
                <w:rFonts w:ascii="Times New Roman" w:hAnsi="Times New Roman" w:hint="eastAsia"/>
              </w:rPr>
              <w:t>.4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履约保证金</w:t>
            </w:r>
          </w:p>
        </w:tc>
        <w:tc>
          <w:tcPr>
            <w:tcW w:w="6508" w:type="dxa"/>
            <w:noWrap/>
            <w:vAlign w:val="center"/>
          </w:tcPr>
          <w:p>
            <w:pPr>
              <w:pStyle w:val="30"/>
              <w:pageBreakBefore w:val="0"/>
              <w:widowControl w:val="0"/>
              <w:kinsoku/>
              <w:wordWrap w:val="0"/>
              <w:overflowPunct/>
              <w:topLinePunct w:val="0"/>
              <w:bidi w:val="0"/>
              <w:textAlignment w:val="auto"/>
              <w:rPr>
                <w:rFonts w:ascii="Times New Roman" w:eastAsia="宋体" w:hAnsi="Times New Roman"/>
                <w:lang w:val="en-US" w:eastAsia="zh-CN"/>
              </w:rPr>
            </w:pPr>
            <w:r>
              <w:rPr>
                <w:rFonts w:ascii="Times New Roman" w:hAnsi="Times New Roman" w:hint="eastAsia"/>
                <w:lang w:val="en-US" w:eastAsia="zh-CN"/>
              </w:rPr>
              <w:t>无</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val="en-US" w:eastAsia="zh-CN"/>
              </w:rPr>
              <w:t>7</w:t>
            </w:r>
            <w:r>
              <w:rPr>
                <w:rFonts w:ascii="Times New Roman" w:hAnsi="Times New Roman" w:hint="eastAsia"/>
              </w:rPr>
              <w:t>.1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重新招标</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有下列情形之一的，招标人将重新招标：</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（1）投标截止时间止，投标人少于 3个的；</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（2）经</w:t>
            </w:r>
            <w:r>
              <w:rPr>
                <w:rFonts w:ascii="Times New Roman" w:hAnsi="Times New Roman" w:hint="eastAsia"/>
                <w:lang w:eastAsia="zh-CN"/>
              </w:rPr>
              <w:t>评审小组</w:t>
            </w:r>
            <w:r>
              <w:rPr>
                <w:rFonts w:ascii="Times New Roman" w:hAnsi="Times New Roman" w:hint="eastAsia"/>
              </w:rPr>
              <w:t>评审后否决所有投标的。</w:t>
            </w:r>
          </w:p>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（3）依法必须进行招标的项目，投标人撤销投标文件或者部分投标被否决，导致有效投标人不足三个的，</w:t>
            </w:r>
            <w:r>
              <w:rPr>
                <w:rFonts w:ascii="Times New Roman" w:hAnsi="Times New Roman" w:hint="eastAsia"/>
                <w:lang w:eastAsia="zh-CN"/>
              </w:rPr>
              <w:t>评审小组</w:t>
            </w:r>
            <w:r>
              <w:rPr>
                <w:rFonts w:ascii="Times New Roman" w:hAnsi="Times New Roman" w:hint="eastAsia"/>
              </w:rPr>
              <w:t>应当对有效投标人是否仍具有竞争性进行论证。</w:t>
            </w:r>
            <w:r>
              <w:rPr>
                <w:rFonts w:ascii="Times New Roman" w:hAnsi="Times New Roman" w:hint="eastAsia"/>
                <w:lang w:eastAsia="zh-CN"/>
              </w:rPr>
              <w:t>评审小组</w:t>
            </w:r>
            <w:r>
              <w:rPr>
                <w:rFonts w:ascii="Times New Roman" w:hAnsi="Times New Roman" w:hint="eastAsia"/>
              </w:rPr>
              <w:t>认为有效投标人的经济、技术等指标仍然具有市场竞争力，能够满足招标文件要求的，可以继续评标并确定中标候选人。</w:t>
            </w:r>
          </w:p>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注：本款只适用于首次招标。</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lang w:val="en-US" w:eastAsia="zh-CN"/>
              </w:rPr>
              <w:t>7</w:t>
            </w:r>
            <w:r>
              <w:rPr>
                <w:rFonts w:ascii="Times New Roman" w:hAnsi="Times New Roman" w:hint="eastAsia"/>
              </w:rPr>
              <w:t>.2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重新</w:t>
            </w:r>
            <w:r>
              <w:rPr>
                <w:rFonts w:ascii="Times New Roman" w:hAnsi="Times New Roman"/>
              </w:rPr>
              <w:t>招标和不再招标</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重新招标或二次招标的投标人仍然少于3个的，按照程序开标和评标。重新招标或二次招标经评审有有效投标人的，应当依法确定中标候选人；无有效投标人的，可以另行组织实施。重新招标或二次招标同一投标人最终含税总报价不得高于该投标人首次招标的最终含税总报价，否则视为投标无效。</w:t>
            </w:r>
          </w:p>
        </w:tc>
      </w:tr>
      <w:t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lang w:val="en-US" w:eastAsia="zh-CN"/>
              </w:rPr>
              <w:t>9</w:t>
            </w:r>
          </w:p>
        </w:tc>
        <w:tc>
          <w:tcPr>
            <w:tcW w:w="8359" w:type="dxa"/>
            <w:gridSpan w:val="2"/>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需要补充的其他内容</w:t>
            </w:r>
          </w:p>
        </w:tc>
      </w:tr>
      <w:tr>
        <w:trPr>
          <w:trHeight w:val="973"/>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val="en-US" w:eastAsia="zh-CN"/>
              </w:rPr>
              <w:t>9</w:t>
            </w:r>
            <w:r>
              <w:rPr>
                <w:rFonts w:ascii="Times New Roman" w:hAnsi="Times New Roman" w:hint="eastAsia"/>
              </w:rPr>
              <w:t>.1</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中标公示</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中标结果将在《</w:t>
            </w:r>
            <w:r>
              <w:rPr>
                <w:rFonts w:ascii="Times New Roman" w:hAnsi="Times New Roman" w:hint="eastAsia"/>
                <w:lang w:val="en-US" w:eastAsia="zh-CN"/>
              </w:rPr>
              <w:t>重庆海关官网</w:t>
            </w:r>
            <w:r>
              <w:rPr>
                <w:rFonts w:ascii="Times New Roman" w:hAnsi="Times New Roman" w:hint="eastAsia"/>
              </w:rPr>
              <w:t>》上公示，公示期为通知发出之日起三日。公示期间无异议、投诉，或者异议、投诉不成立的，招标人应当在公示期结束后五个工作日内</w:t>
            </w:r>
            <w:r>
              <w:rPr>
                <w:rFonts w:ascii="Times New Roman" w:hAnsi="Times New Roman" w:hint="eastAsia"/>
                <w:lang w:val="en-US" w:eastAsia="zh-CN"/>
              </w:rPr>
              <w:t>通知</w:t>
            </w:r>
            <w:r>
              <w:rPr>
                <w:rFonts w:ascii="Times New Roman" w:hAnsi="Times New Roman" w:hint="eastAsia"/>
              </w:rPr>
              <w:t>中标人。</w:t>
            </w:r>
          </w:p>
        </w:tc>
      </w:tr>
      <w:tr>
        <w:trPr>
          <w:trHeight w:val="60"/>
        </w:trPr>
        <w:tc>
          <w:tcPr>
            <w:tcW w:w="855"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val="en-US" w:eastAsia="zh-CN"/>
              </w:rPr>
              <w:t>9</w:t>
            </w:r>
            <w:r>
              <w:rPr>
                <w:rFonts w:ascii="Times New Roman" w:hAnsi="Times New Roman" w:hint="eastAsia"/>
              </w:rPr>
              <w:t>.2</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投标人提供虚假资料</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投标人提交的投标文件资料，应真实、有效，如有虚假，一经查实，招标人有权取消中标资格。</w:t>
            </w:r>
          </w:p>
        </w:tc>
      </w:tr>
      <w:tr>
        <w:trPr>
          <w:trHeight w:val="611"/>
        </w:trP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lang w:val="en-US" w:eastAsia="zh-CN"/>
              </w:rPr>
              <w:t>9</w:t>
            </w:r>
            <w:r>
              <w:rPr>
                <w:rFonts w:ascii="Times New Roman" w:hAnsi="Times New Roman" w:hint="eastAsia"/>
              </w:rPr>
              <w:t>.</w:t>
            </w:r>
            <w:r>
              <w:rPr>
                <w:rFonts w:ascii="Times New Roman" w:hAnsi="Times New Roman" w:hint="eastAsia"/>
                <w:lang w:val="en-US" w:eastAsia="zh-CN"/>
              </w:rPr>
              <w:t>3</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招标文件售价</w:t>
            </w:r>
          </w:p>
        </w:tc>
        <w:tc>
          <w:tcPr>
            <w:tcW w:w="6508" w:type="dxa"/>
            <w:noWrap/>
            <w:vAlign w:val="center"/>
          </w:tcPr>
          <w:p>
            <w:pPr>
              <w:pStyle w:val="30"/>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招标文件费用：0元。</w:t>
            </w:r>
          </w:p>
        </w:tc>
      </w:tr>
      <w:tr>
        <w:trPr>
          <w:trHeight w:val="348"/>
        </w:trPr>
        <w:tc>
          <w:tcPr>
            <w:tcW w:w="855" w:type="dxa"/>
            <w:noWrap/>
            <w:vAlign w:val="center"/>
          </w:tcPr>
          <w:p>
            <w:pPr>
              <w:pStyle w:val="30"/>
              <w:pageBreakBefore w:val="0"/>
              <w:widowControl w:val="0"/>
              <w:kinsoku/>
              <w:wordWrap w:val="0"/>
              <w:overflowPunct/>
              <w:topLinePunct w:val="0"/>
              <w:bidi w:val="0"/>
              <w:textAlignment w:val="auto"/>
              <w:rPr>
                <w:rFonts w:ascii="Times New Roman" w:eastAsia="宋体" w:hAnsi="Times New Roman" w:hint="eastAsia"/>
                <w:lang w:eastAsia="zh-CN"/>
              </w:rPr>
            </w:pPr>
            <w:r>
              <w:rPr>
                <w:rFonts w:ascii="Times New Roman" w:hAnsi="Times New Roman" w:hint="eastAsia"/>
                <w:lang w:val="en-US" w:eastAsia="zh-CN"/>
              </w:rPr>
              <w:t>9</w:t>
            </w:r>
            <w:r>
              <w:rPr>
                <w:rFonts w:ascii="Times New Roman" w:hAnsi="Times New Roman" w:hint="eastAsia"/>
              </w:rPr>
              <w:t>.</w:t>
            </w:r>
            <w:r>
              <w:rPr>
                <w:rFonts w:ascii="Times New Roman" w:hAnsi="Times New Roman" w:hint="eastAsia"/>
                <w:lang w:val="en-US" w:eastAsia="zh-CN"/>
              </w:rPr>
              <w:t>4</w:t>
            </w:r>
          </w:p>
        </w:tc>
        <w:tc>
          <w:tcPr>
            <w:tcW w:w="1851" w:type="dxa"/>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中标候选人无法履约的情况</w:t>
            </w:r>
          </w:p>
        </w:tc>
        <w:tc>
          <w:tcPr>
            <w:tcW w:w="6508" w:type="dxa"/>
            <w:noWrap/>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lang w:eastAsia="zh-CN"/>
              </w:rPr>
              <w:t>评审小组</w:t>
            </w:r>
            <w:r>
              <w:rPr>
                <w:rFonts w:ascii="Times New Roman" w:hAnsi="Times New Roman" w:hint="eastAsia"/>
              </w:rPr>
              <w:t>会推荐的中标候选人出现放弃中标、因不可抗力不能履行合同、不按招标文件要求参加相关测试或相关测试未通过、不按投标文件承诺提供相关资料、或者被查实存在影响中标结果的违法行为等情形时，应当重新组织招标。但因项目时间紧急，重新组织招标影响业务开展，无证据表明招标项目存在串通投标的嫌疑，顺延的中标候选人技术和商务总得分不低于所有有效投标人的平均得分，且报价符合“排名靠后的中标候选人价格高于前一名报价的，排名靠后的中标候选人价格高出部分不得超过前一名报价的4%。”情形的，招标人可依序确定排名其后一位的中标候选人为中标人，递补的拟中标人仍需按期通过所有验证性测试，以此类推。</w:t>
            </w:r>
          </w:p>
        </w:tc>
      </w:tr>
      <w:tr>
        <w:trPr>
          <w:trHeight w:val="589"/>
        </w:trPr>
        <w:tc>
          <w:tcPr>
            <w:tcW w:w="9214" w:type="dxa"/>
            <w:gridSpan w:val="3"/>
            <w:noWrap/>
            <w:vAlign w:val="center"/>
          </w:tcPr>
          <w:p>
            <w:pPr>
              <w:pStyle w:val="30"/>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投标人须知前附表与投标人须知正文不一致的以投标人须知前附表内容为准。</w:t>
            </w:r>
          </w:p>
        </w:tc>
      </w:tr>
    </w:tbl>
    <w:p>
      <w:pPr>
        <w:pageBreakBefore w:val="0"/>
        <w:widowControl w:val="0"/>
        <w:kinsoku/>
        <w:wordWrap w:val="0"/>
        <w:overflowPunct/>
        <w:topLinePunct w:val="0"/>
        <w:bidi w:val="0"/>
        <w:ind w:left="0" w:firstLineChars="0" w:firstLine="0"/>
        <w:textAlignment w:val="auto"/>
        <w:rPr>
          <w:rFonts w:ascii="Times New Roman" w:hAnsi="Times New Roman"/>
        </w:rPr>
      </w:pPr>
      <w:r>
        <w:rPr>
          <w:rFonts w:ascii="Times New Roman" w:hAnsi="Times New Roman"/>
        </w:rPr>
        <w:br w:type="page"/>
      </w:r>
    </w:p>
    <w:p>
      <w:pPr>
        <w:bidi w:val="0"/>
        <w:rPr>
          <w:rFonts w:hint="eastAsia"/>
          <w:b/>
          <w:bCs/>
        </w:rPr>
      </w:pPr>
      <w:bookmarkStart w:id="9" w:name="_Toc537"/>
      <w:bookmarkStart w:id="10" w:name="_Toc24621"/>
      <w:bookmarkStart w:id="11" w:name="_Toc5037"/>
      <w:bookmarkStart w:id="12" w:name="_Toc453951125"/>
      <w:bookmarkStart w:id="13" w:name="_Toc454962855"/>
      <w:bookmarkStart w:id="14" w:name="_Toc8878"/>
      <w:bookmarkStart w:id="15" w:name="_Toc454959624"/>
      <w:bookmarkStart w:id="16" w:name="_Toc24843"/>
      <w:bookmarkStart w:id="17" w:name="_Toc479086538"/>
      <w:bookmarkStart w:id="18" w:name="_Toc475545929"/>
      <w:bookmarkStart w:id="19" w:name="_Toc385234361"/>
      <w:bookmarkStart w:id="20" w:name="_Toc200513126"/>
      <w:r>
        <w:rPr>
          <w:rFonts w:hint="eastAsia"/>
          <w:b/>
          <w:bCs/>
        </w:rPr>
        <w:t>投标人须知正文</w:t>
      </w:r>
      <w:bookmarkEnd w:id="9"/>
      <w:bookmarkEnd w:id="10"/>
      <w:bookmarkEnd w:id="11"/>
    </w:p>
    <w:p>
      <w:pPr>
        <w:bidi w:val="0"/>
        <w:rPr>
          <w:b/>
          <w:bCs/>
        </w:rPr>
      </w:pPr>
      <w:bookmarkStart w:id="21" w:name="_Toc3472"/>
      <w:bookmarkStart w:id="22" w:name="_Toc25487"/>
      <w:bookmarkStart w:id="23" w:name="_Toc20758"/>
      <w:r>
        <w:rPr>
          <w:rFonts w:hint="eastAsia"/>
          <w:b/>
          <w:bCs/>
        </w:rPr>
        <w:t>1.  总则</w:t>
      </w:r>
      <w:bookmarkEnd w:id="12"/>
      <w:bookmarkEnd w:id="13"/>
      <w:bookmarkEnd w:id="14"/>
      <w:bookmarkEnd w:id="15"/>
      <w:bookmarkEnd w:id="16"/>
      <w:bookmarkEnd w:id="17"/>
      <w:bookmarkEnd w:id="18"/>
      <w:bookmarkEnd w:id="19"/>
      <w:bookmarkEnd w:id="20"/>
      <w:bookmarkEnd w:id="21"/>
      <w:bookmarkEnd w:id="22"/>
      <w:bookmarkEnd w:id="23"/>
    </w:p>
    <w:p>
      <w:pPr>
        <w:bidi w:val="0"/>
        <w:rPr>
          <w:b/>
          <w:bCs/>
        </w:rPr>
      </w:pPr>
      <w:bookmarkStart w:id="24" w:name="_Toc221"/>
      <w:bookmarkStart w:id="25" w:name="_Toc200513127"/>
      <w:bookmarkStart w:id="26" w:name="_Toc454962856"/>
      <w:bookmarkStart w:id="27" w:name="_Toc11330"/>
      <w:bookmarkStart w:id="28" w:name="_Toc479086539"/>
      <w:bookmarkStart w:id="29" w:name="_Toc23667"/>
      <w:bookmarkStart w:id="30" w:name="_Toc475545930"/>
      <w:bookmarkStart w:id="31" w:name="_Toc453951126"/>
      <w:bookmarkStart w:id="32" w:name="_Toc454959625"/>
      <w:bookmarkStart w:id="33" w:name="_Toc385234362"/>
      <w:bookmarkStart w:id="34" w:name="_Toc2415"/>
      <w:bookmarkStart w:id="35" w:name="_Toc29852"/>
      <w:r>
        <w:rPr>
          <w:rFonts w:hint="eastAsia"/>
          <w:b/>
          <w:bCs/>
        </w:rPr>
        <w:t>1.1  项目概况</w:t>
      </w:r>
      <w:bookmarkEnd w:id="24"/>
      <w:bookmarkEnd w:id="25"/>
      <w:bookmarkEnd w:id="26"/>
      <w:bookmarkEnd w:id="27"/>
      <w:bookmarkEnd w:id="28"/>
      <w:bookmarkEnd w:id="29"/>
      <w:bookmarkEnd w:id="30"/>
      <w:bookmarkEnd w:id="31"/>
      <w:bookmarkEnd w:id="32"/>
      <w:bookmarkEnd w:id="33"/>
      <w:bookmarkEnd w:id="34"/>
      <w:bookmarkEnd w:id="35"/>
    </w:p>
    <w:p>
      <w:pPr>
        <w:bidi w:val="0"/>
      </w:pPr>
      <w:r>
        <w:rPr>
          <w:rFonts w:hint="eastAsia"/>
        </w:rPr>
        <w:t>1.1.1  根据《中华人民共和国招标投标法》等有关法律、法规和规章的规定，本招标项目已具备招标条件，现对本项目进行公开招标。</w:t>
      </w:r>
    </w:p>
    <w:p>
      <w:pPr>
        <w:bidi w:val="0"/>
      </w:pPr>
      <w:r>
        <w:rPr>
          <w:rFonts w:hint="eastAsia"/>
        </w:rPr>
        <w:t>1.1.2  本招标项目招标人：见投标人须知前附表。</w:t>
      </w:r>
    </w:p>
    <w:p>
      <w:pPr>
        <w:bidi w:val="0"/>
      </w:pPr>
      <w:r>
        <w:rPr>
          <w:rFonts w:hint="eastAsia"/>
        </w:rPr>
        <w:t>1.1.3  本招标项目招标代理机构：见投标人须知前附表。</w:t>
      </w:r>
    </w:p>
    <w:p>
      <w:pPr>
        <w:bidi w:val="0"/>
      </w:pPr>
      <w:r>
        <w:rPr>
          <w:rFonts w:hint="eastAsia"/>
        </w:rPr>
        <w:t>1.1.4  本招标项目名称：见投标人须知前附表。</w:t>
      </w:r>
    </w:p>
    <w:p>
      <w:pPr>
        <w:bidi w:val="0"/>
        <w:rPr>
          <w:rFonts w:hint="eastAsia"/>
          <w:b/>
          <w:bCs/>
        </w:rPr>
      </w:pPr>
      <w:bookmarkStart w:id="36" w:name="_Toc19237"/>
      <w:bookmarkStart w:id="37" w:name="_Toc475545932"/>
      <w:bookmarkStart w:id="38" w:name="_Toc454962858"/>
      <w:bookmarkStart w:id="39" w:name="_Toc385234364"/>
      <w:bookmarkStart w:id="40" w:name="_Toc454959627"/>
      <w:bookmarkStart w:id="41" w:name="_Toc453951128"/>
      <w:bookmarkStart w:id="42" w:name="_Toc479086541"/>
      <w:bookmarkStart w:id="43" w:name="_Toc200513129"/>
      <w:bookmarkStart w:id="44" w:name="_Toc9467"/>
      <w:bookmarkStart w:id="45" w:name="_Toc8864"/>
      <w:bookmarkStart w:id="46" w:name="_Toc2621"/>
      <w:bookmarkStart w:id="47" w:name="_Toc8136"/>
      <w:r>
        <w:rPr>
          <w:rFonts w:hint="eastAsia"/>
          <w:b/>
          <w:bCs/>
        </w:rPr>
        <w:t>1.</w:t>
      </w:r>
      <w:r>
        <w:rPr>
          <w:rFonts w:hint="eastAsia"/>
          <w:b/>
          <w:bCs/>
          <w:lang w:val="en-US" w:eastAsia="zh-CN"/>
        </w:rPr>
        <w:t>2</w:t>
      </w:r>
      <w:r>
        <w:rPr>
          <w:rFonts w:hint="eastAsia"/>
          <w:b/>
          <w:bCs/>
        </w:rPr>
        <w:t xml:space="preserve">  招标范围、服务期限和</w:t>
      </w:r>
      <w:bookmarkEnd w:id="36"/>
      <w:bookmarkEnd w:id="37"/>
      <w:bookmarkEnd w:id="38"/>
      <w:bookmarkEnd w:id="39"/>
      <w:bookmarkEnd w:id="40"/>
      <w:bookmarkEnd w:id="41"/>
      <w:bookmarkEnd w:id="42"/>
      <w:bookmarkEnd w:id="43"/>
      <w:r>
        <w:rPr>
          <w:rFonts w:hint="eastAsia"/>
          <w:b/>
          <w:bCs/>
        </w:rPr>
        <w:t>实施地点</w:t>
      </w:r>
      <w:bookmarkEnd w:id="44"/>
      <w:bookmarkEnd w:id="45"/>
      <w:bookmarkEnd w:id="46"/>
      <w:bookmarkEnd w:id="47"/>
    </w:p>
    <w:p>
      <w:pPr>
        <w:bidi w:val="0"/>
      </w:pPr>
      <w:r>
        <w:rPr>
          <w:rFonts w:hint="eastAsia"/>
        </w:rPr>
        <w:t>1.</w:t>
      </w:r>
      <w:r>
        <w:rPr>
          <w:rFonts w:hint="eastAsia"/>
          <w:lang w:val="en-US" w:eastAsia="zh-CN"/>
        </w:rPr>
        <w:t>2</w:t>
      </w:r>
      <w:r>
        <w:rPr>
          <w:rFonts w:hint="eastAsia"/>
        </w:rPr>
        <w:t>.1  本次招标范围：见投标人须知前附表。</w:t>
      </w:r>
    </w:p>
    <w:p>
      <w:pPr>
        <w:bidi w:val="0"/>
      </w:pPr>
      <w:r>
        <w:rPr>
          <w:rFonts w:hint="eastAsia"/>
        </w:rPr>
        <w:t>1.</w:t>
      </w:r>
      <w:r>
        <w:rPr>
          <w:rFonts w:hint="eastAsia"/>
          <w:lang w:val="en-US" w:eastAsia="zh-CN"/>
        </w:rPr>
        <w:t>2</w:t>
      </w:r>
      <w:r>
        <w:rPr>
          <w:rFonts w:hint="eastAsia"/>
        </w:rPr>
        <w:t>.2  本次招标服务期限：见投标人须知前附表。</w:t>
      </w:r>
    </w:p>
    <w:p>
      <w:pPr>
        <w:bidi w:val="0"/>
        <w:rPr>
          <w:rFonts w:hint="eastAsia"/>
        </w:rPr>
      </w:pPr>
      <w:r>
        <w:rPr>
          <w:rFonts w:hint="eastAsia"/>
        </w:rPr>
        <w:t>1.</w:t>
      </w:r>
      <w:r>
        <w:rPr>
          <w:rFonts w:hint="eastAsia"/>
          <w:lang w:val="en-US" w:eastAsia="zh-CN"/>
        </w:rPr>
        <w:t>2</w:t>
      </w:r>
      <w:r>
        <w:rPr>
          <w:rFonts w:hint="eastAsia"/>
        </w:rPr>
        <w:t>.3  本次招标服务指标：见投标人须知前附表。</w:t>
      </w:r>
    </w:p>
    <w:p>
      <w:pPr>
        <w:bidi w:val="0"/>
      </w:pPr>
      <w:r>
        <w:rPr>
          <w:rFonts w:hint="eastAsia"/>
        </w:rPr>
        <w:t>1.</w:t>
      </w:r>
      <w:r>
        <w:rPr>
          <w:rFonts w:hint="eastAsia"/>
          <w:lang w:val="en-US" w:eastAsia="zh-CN"/>
        </w:rPr>
        <w:t>2</w:t>
      </w:r>
      <w:r>
        <w:rPr>
          <w:rFonts w:hint="eastAsia"/>
        </w:rPr>
        <w:t>.4  本次服务地点：见投标人须知前附表。</w:t>
      </w:r>
    </w:p>
    <w:p>
      <w:pPr>
        <w:bidi w:val="0"/>
        <w:rPr>
          <w:b/>
          <w:bCs/>
        </w:rPr>
      </w:pPr>
      <w:bookmarkStart w:id="48" w:name="_Toc25963"/>
      <w:bookmarkStart w:id="49" w:name="_Toc200513131"/>
      <w:bookmarkStart w:id="50" w:name="_Toc385234365"/>
      <w:bookmarkStart w:id="51" w:name="_Toc18663"/>
      <w:bookmarkStart w:id="52" w:name="_Toc11976"/>
      <w:bookmarkStart w:id="53" w:name="_Toc23969"/>
      <w:bookmarkStart w:id="54" w:name="_Toc454959628"/>
      <w:bookmarkStart w:id="55" w:name="_Toc453951129"/>
      <w:bookmarkStart w:id="56" w:name="_Toc479086542"/>
      <w:bookmarkStart w:id="57" w:name="_Toc454962859"/>
      <w:bookmarkStart w:id="58" w:name="_Toc21815"/>
      <w:bookmarkStart w:id="59" w:name="_Toc475545933"/>
      <w:r>
        <w:rPr>
          <w:rFonts w:hint="eastAsia"/>
          <w:b/>
          <w:bCs/>
        </w:rPr>
        <w:t>1.</w:t>
      </w:r>
      <w:r>
        <w:rPr>
          <w:rFonts w:hint="eastAsia"/>
          <w:b/>
          <w:bCs/>
          <w:lang w:val="en-US" w:eastAsia="zh-CN"/>
        </w:rPr>
        <w:t>3</w:t>
      </w:r>
      <w:r>
        <w:rPr>
          <w:rFonts w:hint="eastAsia"/>
          <w:b/>
          <w:bCs/>
        </w:rPr>
        <w:t xml:space="preserve">  投标人资格要求</w:t>
      </w:r>
      <w:bookmarkEnd w:id="48"/>
      <w:bookmarkEnd w:id="49"/>
      <w:bookmarkEnd w:id="50"/>
      <w:bookmarkEnd w:id="51"/>
      <w:bookmarkEnd w:id="52"/>
      <w:bookmarkEnd w:id="53"/>
      <w:bookmarkEnd w:id="54"/>
      <w:bookmarkEnd w:id="55"/>
      <w:bookmarkEnd w:id="56"/>
      <w:bookmarkEnd w:id="57"/>
      <w:bookmarkEnd w:id="58"/>
      <w:bookmarkEnd w:id="59"/>
    </w:p>
    <w:p>
      <w:pPr>
        <w:bidi w:val="0"/>
      </w:pPr>
      <w:r>
        <w:rPr>
          <w:rFonts w:hint="eastAsia"/>
        </w:rPr>
        <w:t>1.</w:t>
      </w:r>
      <w:r>
        <w:rPr>
          <w:rFonts w:hint="eastAsia"/>
          <w:lang w:val="en-US" w:eastAsia="zh-CN"/>
        </w:rPr>
        <w:t>3</w:t>
      </w:r>
      <w:r>
        <w:rPr>
          <w:rFonts w:hint="eastAsia"/>
        </w:rPr>
        <w:t>.1 投标人应具备承担本项目的资格资质要求、能力和信誉。</w:t>
      </w:r>
    </w:p>
    <w:p>
      <w:pPr>
        <w:bidi w:val="0"/>
      </w:pPr>
      <w:r>
        <w:rPr>
          <w:rFonts w:hint="eastAsia"/>
        </w:rPr>
        <w:t>（1）资格资质要求：见投标人须知前附表；</w:t>
      </w:r>
    </w:p>
    <w:p>
      <w:pPr>
        <w:bidi w:val="0"/>
      </w:pPr>
      <w:r>
        <w:rPr>
          <w:rFonts w:hint="eastAsia"/>
        </w:rPr>
        <w:t>1.</w:t>
      </w:r>
      <w:r>
        <w:rPr>
          <w:rFonts w:hint="eastAsia"/>
          <w:lang w:val="en-US" w:eastAsia="zh-CN"/>
        </w:rPr>
        <w:t>3</w:t>
      </w:r>
      <w:r>
        <w:rPr>
          <w:rFonts w:hint="eastAsia"/>
        </w:rPr>
        <w:t>.2 本项目不接受联合体投标。</w:t>
      </w:r>
    </w:p>
    <w:p>
      <w:pPr>
        <w:bidi w:val="0"/>
        <w:rPr>
          <w:b/>
          <w:bCs/>
        </w:rPr>
      </w:pPr>
      <w:bookmarkStart w:id="60" w:name="_Toc19803"/>
      <w:bookmarkStart w:id="61" w:name="_Toc8201944"/>
      <w:bookmarkStart w:id="62" w:name="_Toc2116"/>
      <w:bookmarkStart w:id="63" w:name="_Toc22323"/>
      <w:bookmarkStart w:id="64" w:name="_Toc18033"/>
      <w:bookmarkStart w:id="65" w:name="_Toc13882"/>
      <w:bookmarkStart w:id="66" w:name="_Toc27081"/>
      <w:bookmarkStart w:id="67" w:name="_Toc1319"/>
      <w:bookmarkStart w:id="68" w:name="_Toc31888"/>
      <w:bookmarkStart w:id="69" w:name="_Toc17412"/>
      <w:r>
        <w:rPr>
          <w:rFonts w:hint="eastAsia"/>
          <w:b/>
          <w:bCs/>
        </w:rPr>
        <w:t>1.</w:t>
      </w:r>
      <w:r>
        <w:rPr>
          <w:rFonts w:hint="eastAsia"/>
          <w:b/>
          <w:bCs/>
          <w:lang w:val="en-US" w:eastAsia="zh-CN"/>
        </w:rPr>
        <w:t>4</w:t>
      </w:r>
      <w:r>
        <w:rPr>
          <w:rFonts w:hint="eastAsia"/>
          <w:b/>
          <w:bCs/>
        </w:rPr>
        <w:t xml:space="preserve">  费用承担</w:t>
      </w:r>
      <w:bookmarkEnd w:id="60"/>
      <w:bookmarkEnd w:id="61"/>
      <w:bookmarkEnd w:id="62"/>
      <w:bookmarkEnd w:id="63"/>
      <w:bookmarkEnd w:id="64"/>
      <w:bookmarkEnd w:id="65"/>
      <w:bookmarkEnd w:id="66"/>
      <w:bookmarkEnd w:id="67"/>
      <w:bookmarkEnd w:id="68"/>
      <w:bookmarkEnd w:id="69"/>
    </w:p>
    <w:p>
      <w:pPr>
        <w:bidi w:val="0"/>
      </w:pPr>
      <w:r>
        <w:rPr>
          <w:rFonts w:hint="eastAsia"/>
        </w:rPr>
        <w:t>投标人准备和参加投标活动发生的费用自理。</w:t>
      </w:r>
    </w:p>
    <w:p>
      <w:pPr>
        <w:bidi w:val="0"/>
        <w:rPr>
          <w:b/>
          <w:bCs/>
        </w:rPr>
      </w:pPr>
      <w:bookmarkStart w:id="70" w:name="_Toc28757"/>
      <w:bookmarkStart w:id="71" w:name="_Toc32316"/>
      <w:bookmarkStart w:id="72" w:name="_Toc17603"/>
      <w:bookmarkStart w:id="73" w:name="_Toc8201945"/>
      <w:bookmarkStart w:id="74" w:name="_Toc91"/>
      <w:bookmarkStart w:id="75" w:name="_Toc18266"/>
      <w:bookmarkStart w:id="76" w:name="_Toc8466"/>
      <w:bookmarkStart w:id="77" w:name="_Toc10131"/>
      <w:bookmarkStart w:id="78" w:name="_Toc15420"/>
      <w:bookmarkStart w:id="79" w:name="_Toc28574"/>
      <w:r>
        <w:rPr>
          <w:rFonts w:hint="eastAsia"/>
          <w:b/>
          <w:bCs/>
        </w:rPr>
        <w:t>1.</w:t>
      </w:r>
      <w:r>
        <w:rPr>
          <w:rFonts w:hint="eastAsia"/>
          <w:b/>
          <w:bCs/>
          <w:lang w:val="en-US" w:eastAsia="zh-CN"/>
        </w:rPr>
        <w:t>5</w:t>
      </w:r>
      <w:r>
        <w:rPr>
          <w:rFonts w:hint="eastAsia"/>
          <w:b/>
          <w:bCs/>
        </w:rPr>
        <w:t xml:space="preserve">  保密</w:t>
      </w:r>
      <w:bookmarkEnd w:id="70"/>
      <w:bookmarkEnd w:id="71"/>
      <w:bookmarkEnd w:id="72"/>
      <w:bookmarkEnd w:id="73"/>
      <w:bookmarkEnd w:id="74"/>
      <w:bookmarkEnd w:id="75"/>
      <w:bookmarkEnd w:id="76"/>
      <w:bookmarkEnd w:id="77"/>
      <w:bookmarkEnd w:id="78"/>
      <w:bookmarkEnd w:id="79"/>
    </w:p>
    <w:p>
      <w:pPr>
        <w:bidi w:val="0"/>
      </w:pPr>
      <w:r>
        <w:rPr>
          <w:rFonts w:hint="eastAsia"/>
        </w:rPr>
        <w:t>参与招标投标活动的各方应对招标文件和投标文件中的商业和技术等秘密保密，违者应对由此造成的后果承担法律责任。</w:t>
      </w:r>
    </w:p>
    <w:p>
      <w:pPr>
        <w:bidi w:val="0"/>
        <w:rPr>
          <w:b/>
          <w:bCs/>
        </w:rPr>
      </w:pPr>
      <w:bookmarkStart w:id="80" w:name="_Toc15808"/>
      <w:bookmarkStart w:id="81" w:name="_Toc26489"/>
      <w:bookmarkStart w:id="82" w:name="_Toc28688"/>
      <w:bookmarkStart w:id="83" w:name="_Toc8201946"/>
      <w:bookmarkStart w:id="84" w:name="_Toc12048"/>
      <w:bookmarkStart w:id="85" w:name="_Toc12354"/>
      <w:bookmarkStart w:id="86" w:name="_Toc11245"/>
      <w:bookmarkStart w:id="87" w:name="_Toc13520"/>
      <w:bookmarkStart w:id="88" w:name="_Toc17206"/>
      <w:bookmarkStart w:id="89" w:name="_Toc7864"/>
      <w:r>
        <w:rPr>
          <w:rFonts w:hint="eastAsia"/>
          <w:b/>
          <w:bCs/>
        </w:rPr>
        <w:t>1.</w:t>
      </w:r>
      <w:r>
        <w:rPr>
          <w:rFonts w:hint="eastAsia"/>
          <w:b/>
          <w:bCs/>
          <w:lang w:val="en-US" w:eastAsia="zh-CN"/>
        </w:rPr>
        <w:t>6</w:t>
      </w:r>
      <w:r>
        <w:rPr>
          <w:rFonts w:hint="eastAsia"/>
          <w:b/>
          <w:bCs/>
        </w:rPr>
        <w:t xml:space="preserve">  语言文字</w:t>
      </w:r>
      <w:bookmarkEnd w:id="80"/>
      <w:bookmarkEnd w:id="81"/>
      <w:bookmarkEnd w:id="82"/>
      <w:bookmarkEnd w:id="83"/>
      <w:bookmarkEnd w:id="84"/>
      <w:bookmarkEnd w:id="85"/>
      <w:bookmarkEnd w:id="86"/>
      <w:bookmarkEnd w:id="87"/>
      <w:bookmarkEnd w:id="88"/>
      <w:bookmarkEnd w:id="89"/>
    </w:p>
    <w:p>
      <w:pPr>
        <w:bidi w:val="0"/>
      </w:pPr>
      <w:r>
        <w:rPr>
          <w:rFonts w:hint="eastAsia"/>
        </w:rPr>
        <w:t>除专用术语外，与招标投标有关的语言均使用中文。必要时专用术语应附有中文注释。</w:t>
      </w:r>
    </w:p>
    <w:p>
      <w:pPr>
        <w:bidi w:val="0"/>
        <w:rPr>
          <w:b/>
          <w:bCs/>
        </w:rPr>
      </w:pPr>
      <w:bookmarkStart w:id="90" w:name="_Toc792"/>
      <w:bookmarkStart w:id="91" w:name="_Toc6932"/>
      <w:bookmarkStart w:id="92" w:name="_Toc17885"/>
      <w:bookmarkStart w:id="93" w:name="_Toc25398"/>
      <w:bookmarkStart w:id="94" w:name="_Toc17160"/>
      <w:bookmarkStart w:id="95" w:name="_Toc20649"/>
      <w:bookmarkStart w:id="96" w:name="_Toc8201947"/>
      <w:bookmarkStart w:id="97" w:name="_Toc6730"/>
      <w:bookmarkStart w:id="98" w:name="_Toc20582"/>
      <w:bookmarkStart w:id="99" w:name="_Toc15148"/>
      <w:r>
        <w:rPr>
          <w:rFonts w:hint="eastAsia"/>
          <w:b/>
          <w:bCs/>
        </w:rPr>
        <w:t>1.</w:t>
      </w:r>
      <w:r>
        <w:rPr>
          <w:rFonts w:hint="eastAsia"/>
          <w:b/>
          <w:bCs/>
          <w:lang w:val="en-US" w:eastAsia="zh-CN"/>
        </w:rPr>
        <w:t>7</w:t>
      </w:r>
      <w:r>
        <w:rPr>
          <w:rFonts w:hint="eastAsia"/>
          <w:b/>
          <w:bCs/>
        </w:rPr>
        <w:t xml:space="preserve">  计量单位</w:t>
      </w:r>
      <w:bookmarkEnd w:id="90"/>
      <w:bookmarkEnd w:id="91"/>
      <w:bookmarkEnd w:id="92"/>
      <w:bookmarkEnd w:id="93"/>
      <w:bookmarkEnd w:id="94"/>
      <w:bookmarkEnd w:id="95"/>
      <w:bookmarkEnd w:id="96"/>
      <w:bookmarkEnd w:id="97"/>
      <w:bookmarkEnd w:id="98"/>
      <w:bookmarkEnd w:id="99"/>
    </w:p>
    <w:p>
      <w:pPr>
        <w:bidi w:val="0"/>
      </w:pPr>
      <w:r>
        <w:rPr>
          <w:rFonts w:hint="eastAsia"/>
        </w:rPr>
        <w:t>所有计量均采用中华人民共和国法定计量单位。</w:t>
      </w:r>
    </w:p>
    <w:p>
      <w:pPr>
        <w:bidi w:val="0"/>
        <w:rPr>
          <w:b/>
          <w:bCs/>
        </w:rPr>
      </w:pPr>
      <w:bookmarkStart w:id="100" w:name="_Toc12075"/>
      <w:bookmarkStart w:id="101" w:name="_Toc12079"/>
      <w:bookmarkStart w:id="102" w:name="_Toc31802"/>
      <w:bookmarkStart w:id="103" w:name="_Toc8201948"/>
      <w:bookmarkStart w:id="104" w:name="_Toc19040"/>
      <w:bookmarkStart w:id="105" w:name="_Toc32080"/>
      <w:bookmarkStart w:id="106" w:name="_Toc14839"/>
      <w:bookmarkStart w:id="107" w:name="_Toc29783"/>
      <w:bookmarkStart w:id="108" w:name="_Toc11186"/>
      <w:bookmarkStart w:id="109" w:name="_Toc15785"/>
      <w:r>
        <w:rPr>
          <w:rFonts w:hint="eastAsia"/>
          <w:b/>
          <w:bCs/>
        </w:rPr>
        <w:t>1.</w:t>
      </w:r>
      <w:r>
        <w:rPr>
          <w:rFonts w:hint="eastAsia"/>
          <w:b/>
          <w:bCs/>
          <w:lang w:val="en-US" w:eastAsia="zh-CN"/>
        </w:rPr>
        <w:t>8</w:t>
      </w:r>
      <w:r>
        <w:rPr>
          <w:rFonts w:hint="eastAsia"/>
          <w:b/>
          <w:bCs/>
        </w:rPr>
        <w:t xml:space="preserve">  踏勘现场</w:t>
      </w:r>
      <w:bookmarkEnd w:id="100"/>
      <w:bookmarkEnd w:id="101"/>
      <w:bookmarkEnd w:id="102"/>
      <w:bookmarkEnd w:id="103"/>
      <w:bookmarkEnd w:id="104"/>
      <w:bookmarkEnd w:id="105"/>
      <w:bookmarkEnd w:id="106"/>
      <w:bookmarkEnd w:id="107"/>
      <w:bookmarkEnd w:id="108"/>
      <w:bookmarkEnd w:id="109"/>
    </w:p>
    <w:p>
      <w:pPr>
        <w:bidi w:val="0"/>
      </w:pPr>
      <w:r>
        <w:rPr>
          <w:rFonts w:hint="eastAsia"/>
        </w:rPr>
        <w:t>1.</w:t>
      </w:r>
      <w:r>
        <w:rPr>
          <w:rFonts w:hint="eastAsia"/>
          <w:lang w:val="en-US" w:eastAsia="zh-CN"/>
        </w:rPr>
        <w:t>8</w:t>
      </w:r>
      <w:r>
        <w:rPr>
          <w:rFonts w:hint="eastAsia"/>
        </w:rPr>
        <w:t>.1  招标人不组织踏勘现场。</w:t>
      </w:r>
    </w:p>
    <w:p>
      <w:pPr>
        <w:bidi w:val="0"/>
      </w:pPr>
      <w:r>
        <w:rPr>
          <w:rFonts w:hint="eastAsia"/>
        </w:rPr>
        <w:t>1.</w:t>
      </w:r>
      <w:r>
        <w:rPr>
          <w:rFonts w:hint="eastAsia"/>
          <w:lang w:val="en-US" w:eastAsia="zh-CN"/>
        </w:rPr>
        <w:t>8</w:t>
      </w:r>
      <w:r>
        <w:rPr>
          <w:rFonts w:hint="eastAsia"/>
        </w:rPr>
        <w:t>.2  投标人踏勘现场发生的费用自理。</w:t>
      </w:r>
    </w:p>
    <w:p>
      <w:pPr>
        <w:bidi w:val="0"/>
      </w:pPr>
      <w:r>
        <w:rPr>
          <w:rFonts w:hint="eastAsia"/>
        </w:rPr>
        <w:t>1.</w:t>
      </w:r>
      <w:r>
        <w:rPr>
          <w:rFonts w:hint="eastAsia"/>
          <w:lang w:val="en-US" w:eastAsia="zh-CN"/>
        </w:rPr>
        <w:t>8</w:t>
      </w:r>
      <w:r>
        <w:rPr>
          <w:rFonts w:hint="eastAsia"/>
        </w:rPr>
        <w:t>.3  投标人应当对项目现场及周围环境进行踏勘，以便投标人获取有关编制投标文件和签署合同所需的所有资料。无论投标人是否踏勘过现场，均被认为在递交投标文件之前已经踏勘现场，对本合同项目的风险和义务已经十分了解，并在其投标文件中已充分考虑了现场和环境条件。</w:t>
      </w:r>
    </w:p>
    <w:p>
      <w:pPr>
        <w:bidi w:val="0"/>
        <w:rPr>
          <w:rFonts w:ascii="宋体" w:cs="宋体"/>
          <w:snapToGrid w:val="0"/>
          <w:color w:val="auto"/>
          <w:kern w:val="0"/>
          <w:highlight w:val="auto"/>
        </w:rPr>
      </w:pPr>
      <w:r>
        <w:rPr>
          <w:rFonts w:hint="eastAsia"/>
        </w:rPr>
        <w:t>1.</w:t>
      </w:r>
      <w:r>
        <w:rPr>
          <w:rFonts w:hint="eastAsia"/>
          <w:lang w:val="en-US" w:eastAsia="zh-CN"/>
        </w:rPr>
        <w:t>8</w:t>
      </w:r>
      <w:r>
        <w:rPr>
          <w:rFonts w:hint="eastAsia"/>
        </w:rPr>
        <w:t>.4  投标人及其人员经过招标人的允许，可因踏勘目的进入招标人的工程现场，但投标人及其人员不得因此使招标人及其人员承担有关的责任和蒙受损失。投标人应对由此次踏勘现场而造成的死亡、人身伤害、财产损失、损害以及任何其它损失、损害和引起的费用和开支承担责任。</w:t>
      </w:r>
    </w:p>
    <w:p>
      <w:pPr>
        <w:bidi w:val="0"/>
        <w:rPr>
          <w:b/>
          <w:bCs/>
        </w:rPr>
      </w:pPr>
      <w:bookmarkStart w:id="110" w:name="_Toc7519"/>
      <w:bookmarkStart w:id="111" w:name="_Toc2968"/>
      <w:bookmarkStart w:id="112" w:name="_Toc13837"/>
      <w:bookmarkStart w:id="113" w:name="_Toc22898"/>
      <w:bookmarkStart w:id="114" w:name="_Toc2986"/>
      <w:bookmarkStart w:id="115" w:name="_Toc9351"/>
      <w:bookmarkStart w:id="116" w:name="_Toc8201949"/>
      <w:bookmarkStart w:id="117" w:name="_Toc14902"/>
      <w:bookmarkStart w:id="118" w:name="_Toc24100"/>
      <w:bookmarkStart w:id="119" w:name="_Toc9367"/>
      <w:r>
        <w:rPr>
          <w:rFonts w:hint="eastAsia"/>
          <w:b/>
          <w:bCs/>
        </w:rPr>
        <w:t>1.</w:t>
      </w:r>
      <w:r>
        <w:rPr>
          <w:rFonts w:hint="eastAsia"/>
          <w:b/>
          <w:bCs/>
          <w:lang w:val="en-US" w:eastAsia="zh-CN"/>
        </w:rPr>
        <w:t>9</w:t>
      </w:r>
      <w:r>
        <w:rPr>
          <w:rFonts w:hint="eastAsia"/>
          <w:b/>
          <w:bCs/>
        </w:rPr>
        <w:t xml:space="preserve">  投标预备会</w:t>
      </w:r>
      <w:bookmarkEnd w:id="110"/>
      <w:bookmarkEnd w:id="111"/>
      <w:bookmarkEnd w:id="112"/>
      <w:bookmarkEnd w:id="113"/>
      <w:bookmarkEnd w:id="114"/>
      <w:bookmarkEnd w:id="115"/>
      <w:bookmarkEnd w:id="116"/>
      <w:bookmarkEnd w:id="117"/>
      <w:bookmarkEnd w:id="118"/>
      <w:bookmarkEnd w:id="119"/>
    </w:p>
    <w:p>
      <w:pPr>
        <w:bidi w:val="0"/>
      </w:pPr>
      <w:r>
        <w:rPr>
          <w:rFonts w:hint="eastAsia"/>
        </w:rPr>
        <w:t>本项目不组织投标预备会。</w:t>
      </w:r>
    </w:p>
    <w:p>
      <w:pPr>
        <w:bidi w:val="0"/>
        <w:rPr>
          <w:b/>
          <w:bCs/>
        </w:rPr>
      </w:pPr>
      <w:bookmarkStart w:id="120" w:name="_Toc18590"/>
      <w:bookmarkStart w:id="121" w:name="_Toc14057"/>
      <w:bookmarkStart w:id="122" w:name="_Toc9073"/>
      <w:bookmarkStart w:id="123" w:name="_Toc8201950"/>
      <w:bookmarkStart w:id="124" w:name="_Toc8137"/>
      <w:bookmarkStart w:id="125" w:name="_Toc4522"/>
      <w:bookmarkStart w:id="126" w:name="_Toc29089"/>
      <w:bookmarkStart w:id="127" w:name="_Toc32545"/>
      <w:bookmarkStart w:id="128" w:name="_Toc26332"/>
      <w:bookmarkStart w:id="129" w:name="_Toc10470"/>
      <w:r>
        <w:rPr>
          <w:rFonts w:hint="eastAsia"/>
          <w:b/>
          <w:bCs/>
        </w:rPr>
        <w:t>1.1</w:t>
      </w:r>
      <w:r>
        <w:rPr>
          <w:rFonts w:hint="eastAsia"/>
          <w:b/>
          <w:bCs/>
          <w:lang w:val="en-US" w:eastAsia="zh-CN"/>
        </w:rPr>
        <w:t>0</w:t>
      </w:r>
      <w:r>
        <w:rPr>
          <w:rFonts w:hint="eastAsia"/>
          <w:b/>
          <w:bCs/>
        </w:rPr>
        <w:t xml:space="preserve">  分包</w:t>
      </w:r>
      <w:bookmarkEnd w:id="120"/>
      <w:bookmarkEnd w:id="121"/>
      <w:bookmarkEnd w:id="122"/>
      <w:bookmarkEnd w:id="123"/>
      <w:bookmarkEnd w:id="124"/>
      <w:bookmarkEnd w:id="125"/>
      <w:bookmarkEnd w:id="126"/>
      <w:bookmarkEnd w:id="127"/>
      <w:bookmarkEnd w:id="128"/>
      <w:bookmarkEnd w:id="129"/>
    </w:p>
    <w:p>
      <w:pPr>
        <w:bidi w:val="0"/>
      </w:pPr>
      <w:r>
        <w:rPr>
          <w:rFonts w:hint="eastAsia"/>
        </w:rPr>
        <w:t>本项目不允许分包。</w:t>
      </w:r>
    </w:p>
    <w:p>
      <w:pPr>
        <w:bidi w:val="0"/>
        <w:rPr>
          <w:rFonts w:hint="eastAsia"/>
          <w:b/>
          <w:bCs/>
        </w:rPr>
      </w:pPr>
      <w:bookmarkStart w:id="130" w:name="_Toc11231"/>
      <w:bookmarkStart w:id="131" w:name="_Toc21799"/>
      <w:bookmarkStart w:id="132" w:name="_Toc17811"/>
      <w:bookmarkStart w:id="133" w:name="_Toc30370"/>
      <w:bookmarkStart w:id="134" w:name="_Toc16204"/>
      <w:bookmarkStart w:id="135" w:name="_Toc8201952"/>
      <w:bookmarkStart w:id="136" w:name="_Toc17117"/>
      <w:bookmarkStart w:id="137" w:name="_Toc4378"/>
      <w:bookmarkStart w:id="138" w:name="_Toc11848"/>
      <w:bookmarkStart w:id="139" w:name="_Toc8260"/>
      <w:r>
        <w:rPr>
          <w:rFonts w:hint="eastAsia"/>
          <w:b/>
          <w:bCs/>
        </w:rPr>
        <w:t xml:space="preserve">2.  </w:t>
      </w:r>
      <w:bookmarkEnd w:id="130"/>
      <w:bookmarkEnd w:id="131"/>
      <w:bookmarkEnd w:id="132"/>
      <w:bookmarkEnd w:id="133"/>
      <w:bookmarkEnd w:id="134"/>
      <w:bookmarkEnd w:id="135"/>
      <w:bookmarkEnd w:id="136"/>
      <w:bookmarkEnd w:id="137"/>
      <w:bookmarkEnd w:id="138"/>
      <w:r>
        <w:rPr>
          <w:rFonts w:hint="eastAsia"/>
          <w:b/>
          <w:bCs/>
        </w:rPr>
        <w:t>招标文件</w:t>
      </w:r>
      <w:bookmarkEnd w:id="139"/>
    </w:p>
    <w:p>
      <w:pPr>
        <w:bidi w:val="0"/>
        <w:rPr>
          <w:b/>
          <w:bCs/>
        </w:rPr>
      </w:pPr>
      <w:bookmarkStart w:id="140" w:name="_Toc17181"/>
      <w:bookmarkStart w:id="141" w:name="_Toc14101"/>
      <w:bookmarkStart w:id="142" w:name="_Toc18496"/>
      <w:bookmarkStart w:id="143" w:name="_Toc8201953"/>
      <w:bookmarkStart w:id="144" w:name="_Toc6153"/>
      <w:bookmarkStart w:id="145" w:name="_Toc28666"/>
      <w:bookmarkStart w:id="146" w:name="_Toc26904"/>
      <w:bookmarkStart w:id="147" w:name="_Toc24010"/>
      <w:bookmarkStart w:id="148" w:name="_Toc10643"/>
      <w:bookmarkStart w:id="149" w:name="_Toc2095"/>
      <w:r>
        <w:rPr>
          <w:rFonts w:hint="eastAsia"/>
          <w:b/>
          <w:bCs/>
        </w:rPr>
        <w:t>2.1  招标文件的组成</w:t>
      </w:r>
      <w:bookmarkEnd w:id="140"/>
      <w:bookmarkEnd w:id="141"/>
      <w:bookmarkEnd w:id="142"/>
      <w:bookmarkEnd w:id="143"/>
      <w:bookmarkEnd w:id="144"/>
      <w:bookmarkEnd w:id="145"/>
      <w:bookmarkEnd w:id="146"/>
      <w:bookmarkEnd w:id="147"/>
      <w:bookmarkEnd w:id="148"/>
      <w:bookmarkEnd w:id="149"/>
    </w:p>
    <w:p>
      <w:pPr>
        <w:bidi w:val="0"/>
      </w:pPr>
      <w:r>
        <w:rPr>
          <w:rFonts w:hint="eastAsia"/>
        </w:rPr>
        <w:t>本招标文件包括：</w:t>
      </w:r>
    </w:p>
    <w:p>
      <w:pPr>
        <w:bidi w:val="0"/>
      </w:pPr>
      <w:r>
        <w:rPr>
          <w:rFonts w:hint="eastAsia"/>
        </w:rPr>
        <w:t>（1）招标公告；</w:t>
      </w:r>
    </w:p>
    <w:p>
      <w:pPr>
        <w:bidi w:val="0"/>
      </w:pPr>
      <w:r>
        <w:rPr>
          <w:rFonts w:hint="eastAsia"/>
        </w:rPr>
        <w:t>（2）投标人须知；</w:t>
      </w:r>
    </w:p>
    <w:p>
      <w:pPr>
        <w:bidi w:val="0"/>
      </w:pPr>
      <w:r>
        <w:rPr>
          <w:rFonts w:hint="eastAsia"/>
        </w:rPr>
        <w:t>（3）评标办法；</w:t>
      </w:r>
    </w:p>
    <w:p>
      <w:pPr>
        <w:bidi w:val="0"/>
      </w:pPr>
      <w:r>
        <w:rPr>
          <w:rFonts w:hint="eastAsia"/>
        </w:rPr>
        <w:t>（4）合同条款及格式；</w:t>
      </w:r>
    </w:p>
    <w:p>
      <w:pPr>
        <w:bidi w:val="0"/>
      </w:pPr>
      <w:r>
        <w:rPr>
          <w:rFonts w:hint="eastAsia"/>
        </w:rPr>
        <w:t>（5）技术商务要求；</w:t>
      </w:r>
    </w:p>
    <w:p>
      <w:pPr>
        <w:bidi w:val="0"/>
      </w:pPr>
      <w:r>
        <w:rPr>
          <w:rFonts w:hint="eastAsia"/>
        </w:rPr>
        <w:t>（6）投标文件格式；</w:t>
      </w:r>
    </w:p>
    <w:p>
      <w:pPr>
        <w:bidi w:val="0"/>
      </w:pPr>
      <w:r>
        <w:rPr>
          <w:rFonts w:hint="eastAsia"/>
        </w:rPr>
        <w:t>（7）投标人须知前附表规定的其他材料。</w:t>
      </w:r>
    </w:p>
    <w:p>
      <w:pPr>
        <w:bidi w:val="0"/>
      </w:pPr>
      <w:r>
        <w:rPr>
          <w:rFonts w:hint="eastAsia"/>
        </w:rPr>
        <w:t>根据本章第1.10款和第2.2款对招标文件所作的澄清、修改，构成招标文件的组成部分。</w:t>
      </w:r>
    </w:p>
    <w:p>
      <w:pPr>
        <w:bidi w:val="0"/>
        <w:rPr>
          <w:b/>
          <w:bCs/>
        </w:rPr>
      </w:pPr>
      <w:bookmarkStart w:id="150" w:name="_Toc16327"/>
      <w:bookmarkStart w:id="151" w:name="_Toc10729"/>
      <w:bookmarkStart w:id="152" w:name="_Toc20824"/>
      <w:bookmarkStart w:id="153" w:name="_Toc24105"/>
      <w:bookmarkStart w:id="154" w:name="_Toc19371"/>
      <w:bookmarkStart w:id="155" w:name="_Toc8201954"/>
      <w:bookmarkStart w:id="156" w:name="_Toc26000"/>
      <w:bookmarkStart w:id="157" w:name="_Toc1021"/>
      <w:bookmarkStart w:id="158" w:name="_Toc23348"/>
      <w:bookmarkStart w:id="159" w:name="_Toc30278"/>
      <w:r>
        <w:rPr>
          <w:rFonts w:hint="eastAsia"/>
          <w:b/>
          <w:bCs/>
        </w:rPr>
        <w:t>2.2  招标文件的质疑、澄清、修改及投标截止时间</w:t>
      </w:r>
      <w:bookmarkEnd w:id="150"/>
      <w:bookmarkEnd w:id="151"/>
      <w:bookmarkEnd w:id="152"/>
      <w:bookmarkEnd w:id="153"/>
      <w:bookmarkEnd w:id="154"/>
      <w:bookmarkEnd w:id="155"/>
      <w:bookmarkEnd w:id="156"/>
      <w:bookmarkEnd w:id="157"/>
      <w:bookmarkEnd w:id="158"/>
      <w:bookmarkEnd w:id="159"/>
    </w:p>
    <w:p>
      <w:pPr>
        <w:bidi w:val="0"/>
      </w:pPr>
      <w:r>
        <w:rPr>
          <w:rFonts w:hint="eastAsia"/>
        </w:rPr>
        <w:t>2.2.1 详见投标人须知前附表。</w:t>
      </w:r>
    </w:p>
    <w:p>
      <w:pPr>
        <w:bidi w:val="0"/>
      </w:pPr>
      <w:r>
        <w:rPr>
          <w:rFonts w:hint="eastAsia"/>
        </w:rPr>
        <w:t>2.2.2 详见投标人须知前附表。</w:t>
      </w:r>
    </w:p>
    <w:p>
      <w:pPr>
        <w:bidi w:val="0"/>
      </w:pPr>
      <w:r>
        <w:rPr>
          <w:rFonts w:hint="eastAsia"/>
        </w:rPr>
        <w:t>2.2.3 详见投标人须知前附表。</w:t>
      </w:r>
    </w:p>
    <w:p>
      <w:pPr>
        <w:bidi w:val="0"/>
      </w:pPr>
      <w:r>
        <w:rPr>
          <w:rFonts w:hint="eastAsia"/>
        </w:rPr>
        <w:t>2.2.4 详见投标人须知前附表。</w:t>
      </w:r>
    </w:p>
    <w:p>
      <w:pPr>
        <w:bidi w:val="0"/>
      </w:pPr>
      <w:r>
        <w:rPr>
          <w:rFonts w:hint="eastAsia"/>
        </w:rPr>
        <w:t>2.2.5若开标时间延迟，则由招标人或招标代理机构在开标前的任何时间另行通知开标时间。</w:t>
      </w:r>
    </w:p>
    <w:p>
      <w:pPr>
        <w:bidi w:val="0"/>
        <w:rPr>
          <w:b/>
          <w:bCs/>
        </w:rPr>
      </w:pPr>
      <w:bookmarkStart w:id="160" w:name="_Toc17798"/>
      <w:bookmarkStart w:id="161" w:name="_Toc16721"/>
      <w:bookmarkStart w:id="162" w:name="_Toc3263"/>
      <w:bookmarkStart w:id="163" w:name="_Toc22600"/>
      <w:bookmarkStart w:id="164" w:name="_Toc31979"/>
      <w:bookmarkStart w:id="165" w:name="_Toc31999"/>
      <w:bookmarkStart w:id="166" w:name="_Toc30493"/>
      <w:bookmarkStart w:id="167" w:name="_Toc22405"/>
      <w:bookmarkStart w:id="168" w:name="_Toc8201955"/>
      <w:bookmarkStart w:id="169" w:name="_Toc11157"/>
      <w:r>
        <w:rPr>
          <w:rFonts w:hint="eastAsia"/>
          <w:b/>
          <w:bCs/>
        </w:rPr>
        <w:t>3.  投标文件</w:t>
      </w:r>
      <w:bookmarkEnd w:id="160"/>
      <w:bookmarkEnd w:id="161"/>
      <w:bookmarkEnd w:id="162"/>
      <w:bookmarkEnd w:id="163"/>
      <w:bookmarkEnd w:id="164"/>
      <w:bookmarkEnd w:id="165"/>
      <w:bookmarkEnd w:id="166"/>
      <w:bookmarkEnd w:id="167"/>
      <w:bookmarkEnd w:id="168"/>
      <w:bookmarkEnd w:id="169"/>
    </w:p>
    <w:p>
      <w:pPr>
        <w:bidi w:val="0"/>
        <w:rPr>
          <w:b/>
          <w:bCs/>
        </w:rPr>
      </w:pPr>
      <w:bookmarkStart w:id="170" w:name="_Toc12473"/>
      <w:bookmarkStart w:id="171" w:name="_Toc23365"/>
      <w:bookmarkStart w:id="172" w:name="_Toc19824"/>
      <w:bookmarkStart w:id="173" w:name="_Toc9488"/>
      <w:bookmarkStart w:id="174" w:name="_Toc12252"/>
      <w:bookmarkStart w:id="175" w:name="_Toc6828"/>
      <w:bookmarkStart w:id="176" w:name="_Toc8201956"/>
      <w:bookmarkStart w:id="177" w:name="_Toc16983"/>
      <w:bookmarkStart w:id="178" w:name="_Toc13377"/>
      <w:bookmarkStart w:id="179" w:name="_Toc2136"/>
      <w:r>
        <w:rPr>
          <w:rFonts w:hint="eastAsia"/>
          <w:b/>
          <w:bCs/>
        </w:rPr>
        <w:t>3.1  投标文件的组成</w:t>
      </w:r>
      <w:bookmarkEnd w:id="170"/>
      <w:bookmarkEnd w:id="171"/>
      <w:bookmarkEnd w:id="172"/>
      <w:bookmarkEnd w:id="173"/>
      <w:bookmarkEnd w:id="174"/>
      <w:bookmarkEnd w:id="175"/>
      <w:bookmarkEnd w:id="176"/>
      <w:bookmarkEnd w:id="177"/>
      <w:bookmarkEnd w:id="178"/>
      <w:bookmarkEnd w:id="179"/>
    </w:p>
    <w:p>
      <w:pPr>
        <w:bidi w:val="0"/>
      </w:pPr>
      <w:r>
        <w:rPr>
          <w:rFonts w:hint="eastAsia"/>
        </w:rPr>
        <w:t>3.1.1 投标文件应包括下列内容：</w:t>
      </w:r>
    </w:p>
    <w:p>
      <w:pPr>
        <w:bidi w:val="0"/>
      </w:pPr>
      <w:r>
        <w:rPr>
          <w:rFonts w:hint="eastAsia"/>
        </w:rPr>
        <w:t>投标函部分</w:t>
      </w:r>
    </w:p>
    <w:p>
      <w:pPr>
        <w:bidi w:val="0"/>
        <w:rPr>
          <w:rFonts w:hint="eastAsia"/>
        </w:rPr>
      </w:pPr>
      <w:r>
        <w:rPr>
          <w:rFonts w:hint="eastAsia"/>
        </w:rPr>
        <w:t>技术商务部分（资格审查资料）</w:t>
      </w:r>
    </w:p>
    <w:p>
      <w:pPr>
        <w:bidi w:val="0"/>
        <w:rPr>
          <w:rFonts w:hint="eastAsia"/>
        </w:rPr>
      </w:pPr>
      <w:r>
        <w:rPr>
          <w:rFonts w:hint="eastAsia"/>
        </w:rPr>
        <w:t>构成投标文件的其他材料：投标人的书面澄清、说明和补正（但不得改变投标文件的实质性内容）。</w:t>
      </w:r>
    </w:p>
    <w:p>
      <w:pPr>
        <w:bidi w:val="0"/>
        <w:rPr>
          <w:b/>
          <w:bCs/>
        </w:rPr>
      </w:pPr>
      <w:bookmarkStart w:id="180" w:name="_Toc9428"/>
      <w:bookmarkStart w:id="181" w:name="_Toc26370"/>
      <w:bookmarkStart w:id="182" w:name="_Toc5364"/>
      <w:bookmarkStart w:id="183" w:name="_Toc9516"/>
      <w:bookmarkStart w:id="184" w:name="_Toc18831"/>
      <w:bookmarkStart w:id="185" w:name="_Toc10641"/>
      <w:bookmarkStart w:id="186" w:name="_Toc14765"/>
      <w:bookmarkStart w:id="187" w:name="_Toc28292"/>
      <w:bookmarkStart w:id="188" w:name="_Toc8201957"/>
      <w:r>
        <w:rPr>
          <w:rFonts w:hint="eastAsia"/>
          <w:b/>
          <w:bCs/>
        </w:rPr>
        <w:t>3.2  投标报价</w:t>
      </w:r>
      <w:bookmarkEnd w:id="180"/>
      <w:bookmarkEnd w:id="181"/>
      <w:bookmarkEnd w:id="182"/>
      <w:bookmarkEnd w:id="183"/>
      <w:bookmarkEnd w:id="184"/>
      <w:bookmarkEnd w:id="185"/>
      <w:bookmarkEnd w:id="186"/>
      <w:bookmarkEnd w:id="187"/>
      <w:bookmarkEnd w:id="188"/>
    </w:p>
    <w:p>
      <w:pPr>
        <w:bidi w:val="0"/>
      </w:pPr>
      <w:r>
        <w:rPr>
          <w:rFonts w:hint="eastAsia"/>
        </w:rPr>
        <w:t>详见投标人须知前附表。</w:t>
      </w:r>
    </w:p>
    <w:p>
      <w:pPr>
        <w:bidi w:val="0"/>
        <w:rPr>
          <w:b/>
          <w:bCs/>
        </w:rPr>
      </w:pPr>
      <w:bookmarkStart w:id="189" w:name="_Toc897"/>
      <w:bookmarkStart w:id="190" w:name="_Toc4719"/>
      <w:bookmarkStart w:id="191" w:name="_Toc15539"/>
      <w:bookmarkStart w:id="192" w:name="_Toc4989"/>
      <w:bookmarkStart w:id="193" w:name="_Toc4638"/>
      <w:bookmarkStart w:id="194" w:name="_Toc8201958"/>
      <w:bookmarkStart w:id="195" w:name="_Toc31605"/>
      <w:bookmarkStart w:id="196" w:name="_Toc26579"/>
      <w:bookmarkStart w:id="197" w:name="_Toc27342"/>
      <w:bookmarkStart w:id="198" w:name="_Toc9794"/>
      <w:r>
        <w:rPr>
          <w:rFonts w:hint="eastAsia"/>
          <w:b/>
          <w:bCs/>
        </w:rPr>
        <w:t>3.3  投标有效期</w:t>
      </w:r>
      <w:bookmarkEnd w:id="189"/>
      <w:bookmarkEnd w:id="190"/>
      <w:bookmarkEnd w:id="191"/>
      <w:bookmarkEnd w:id="192"/>
      <w:bookmarkEnd w:id="193"/>
      <w:bookmarkEnd w:id="194"/>
      <w:bookmarkEnd w:id="195"/>
      <w:bookmarkEnd w:id="196"/>
      <w:bookmarkEnd w:id="197"/>
      <w:bookmarkEnd w:id="198"/>
    </w:p>
    <w:p>
      <w:pPr>
        <w:bidi w:val="0"/>
      </w:pPr>
      <w:r>
        <w:rPr>
          <w:rFonts w:hint="eastAsia"/>
        </w:rPr>
        <w:t>3.3.1  在投标人须知前附表规定的投标有效期内，投标人不得要求撤销或修改其投标文件。</w:t>
      </w:r>
    </w:p>
    <w:p>
      <w:pPr>
        <w:bidi w:val="0"/>
      </w:pPr>
      <w:r>
        <w:rPr>
          <w:rFonts w:hint="eastAsia"/>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bidi w:val="0"/>
        <w:rPr>
          <w:b/>
          <w:bCs/>
        </w:rPr>
      </w:pPr>
      <w:bookmarkStart w:id="199" w:name="_Toc32312"/>
      <w:bookmarkStart w:id="200" w:name="_Toc21932"/>
      <w:bookmarkStart w:id="201" w:name="_Toc1243"/>
      <w:bookmarkStart w:id="202" w:name="_Toc8201959"/>
      <w:bookmarkStart w:id="203" w:name="_Toc18825"/>
      <w:bookmarkStart w:id="204" w:name="_Toc25912"/>
      <w:bookmarkStart w:id="205" w:name="_Toc3006"/>
      <w:bookmarkStart w:id="206" w:name="_Toc25260"/>
      <w:bookmarkStart w:id="207" w:name="_Toc577"/>
      <w:bookmarkStart w:id="208" w:name="_Toc6283"/>
      <w:r>
        <w:rPr>
          <w:rFonts w:hint="eastAsia"/>
          <w:b/>
          <w:bCs/>
        </w:rPr>
        <w:t>3.4  投标保证金</w:t>
      </w:r>
      <w:bookmarkEnd w:id="199"/>
      <w:bookmarkEnd w:id="200"/>
      <w:bookmarkEnd w:id="201"/>
      <w:bookmarkEnd w:id="202"/>
      <w:bookmarkEnd w:id="203"/>
      <w:bookmarkEnd w:id="204"/>
      <w:bookmarkEnd w:id="205"/>
      <w:bookmarkEnd w:id="206"/>
      <w:bookmarkEnd w:id="207"/>
      <w:bookmarkEnd w:id="208"/>
    </w:p>
    <w:p>
      <w:pPr>
        <w:bidi w:val="0"/>
        <w:rPr>
          <w:rFonts w:hint="eastAsia"/>
        </w:rPr>
      </w:pPr>
      <w:r>
        <w:rPr>
          <w:rFonts w:hint="eastAsia"/>
          <w:lang w:val="en-US" w:eastAsia="zh-CN"/>
        </w:rPr>
        <w:t>无。</w:t>
      </w:r>
    </w:p>
    <w:p>
      <w:pPr>
        <w:bidi w:val="0"/>
        <w:rPr>
          <w:b/>
          <w:bCs/>
        </w:rPr>
      </w:pPr>
      <w:bookmarkStart w:id="209" w:name="_Toc8201960"/>
      <w:bookmarkStart w:id="210" w:name="_Toc25882"/>
      <w:bookmarkStart w:id="211" w:name="_Toc12170"/>
      <w:bookmarkStart w:id="212" w:name="_Toc3920"/>
      <w:bookmarkStart w:id="213" w:name="_Toc8550"/>
      <w:bookmarkStart w:id="214" w:name="_Toc11545"/>
      <w:bookmarkStart w:id="215" w:name="_Toc6534"/>
      <w:bookmarkStart w:id="216" w:name="_Toc24858"/>
      <w:bookmarkStart w:id="217" w:name="_Toc27462"/>
      <w:bookmarkStart w:id="218" w:name="_Toc22092"/>
      <w:r>
        <w:rPr>
          <w:rFonts w:hint="eastAsia"/>
          <w:b/>
          <w:bCs/>
        </w:rPr>
        <w:t>3.5  资格审查资料</w:t>
      </w:r>
      <w:bookmarkEnd w:id="209"/>
      <w:bookmarkEnd w:id="210"/>
      <w:bookmarkEnd w:id="211"/>
      <w:bookmarkEnd w:id="212"/>
      <w:bookmarkEnd w:id="213"/>
      <w:bookmarkEnd w:id="214"/>
      <w:bookmarkEnd w:id="215"/>
      <w:bookmarkEnd w:id="216"/>
      <w:bookmarkEnd w:id="217"/>
      <w:bookmarkEnd w:id="218"/>
    </w:p>
    <w:p>
      <w:pPr>
        <w:bidi w:val="0"/>
      </w:pPr>
      <w:r>
        <w:rPr>
          <w:rFonts w:hint="eastAsia"/>
        </w:rPr>
        <w:t>按投标人须知前附表1.4.1项要求提供的资料提供。</w:t>
      </w:r>
    </w:p>
    <w:p>
      <w:pPr>
        <w:bidi w:val="0"/>
        <w:rPr>
          <w:b/>
          <w:bCs/>
        </w:rPr>
      </w:pPr>
      <w:bookmarkStart w:id="219" w:name="_Toc22940"/>
      <w:bookmarkStart w:id="220" w:name="_Toc16707"/>
      <w:bookmarkStart w:id="221" w:name="_Toc3842"/>
      <w:bookmarkStart w:id="222" w:name="_Toc8201961"/>
      <w:bookmarkStart w:id="223" w:name="_Toc32667"/>
      <w:bookmarkStart w:id="224" w:name="_Toc18618"/>
      <w:bookmarkStart w:id="225" w:name="_Toc2855"/>
      <w:bookmarkStart w:id="226" w:name="_Toc21015"/>
      <w:bookmarkStart w:id="227" w:name="_Toc14782"/>
      <w:bookmarkStart w:id="228" w:name="_Toc31304"/>
      <w:r>
        <w:rPr>
          <w:rFonts w:hint="eastAsia"/>
          <w:b/>
          <w:bCs/>
        </w:rPr>
        <w:t>3.6  备选投标方案</w:t>
      </w:r>
      <w:bookmarkEnd w:id="219"/>
      <w:bookmarkEnd w:id="220"/>
      <w:bookmarkEnd w:id="221"/>
      <w:bookmarkEnd w:id="222"/>
      <w:bookmarkEnd w:id="223"/>
      <w:bookmarkEnd w:id="224"/>
      <w:bookmarkEnd w:id="225"/>
      <w:bookmarkEnd w:id="226"/>
      <w:bookmarkEnd w:id="227"/>
      <w:bookmarkEnd w:id="228"/>
    </w:p>
    <w:p>
      <w:pPr>
        <w:bidi w:val="0"/>
      </w:pPr>
      <w:r>
        <w:rPr>
          <w:rFonts w:hint="eastAsia"/>
        </w:rPr>
        <w:t>投标人不得递交备选投标方案。</w:t>
      </w:r>
    </w:p>
    <w:p>
      <w:pPr>
        <w:bidi w:val="0"/>
        <w:rPr>
          <w:b/>
          <w:bCs/>
        </w:rPr>
      </w:pPr>
      <w:bookmarkStart w:id="229" w:name="_Toc11857"/>
      <w:bookmarkStart w:id="230" w:name="_Toc31892"/>
      <w:bookmarkStart w:id="231" w:name="_Toc8003"/>
      <w:bookmarkStart w:id="232" w:name="_Toc23569"/>
      <w:bookmarkStart w:id="233" w:name="_Toc13296"/>
      <w:bookmarkStart w:id="234" w:name="_Toc8201962"/>
      <w:bookmarkStart w:id="235" w:name="_Toc23834"/>
      <w:bookmarkStart w:id="236" w:name="_Toc15437"/>
      <w:bookmarkStart w:id="237" w:name="_Toc27799"/>
      <w:bookmarkStart w:id="238" w:name="_Toc27224"/>
      <w:r>
        <w:rPr>
          <w:rFonts w:hint="eastAsia"/>
          <w:b/>
          <w:bCs/>
        </w:rPr>
        <w:t>3.7  投标文件的编制</w:t>
      </w:r>
      <w:bookmarkEnd w:id="229"/>
      <w:bookmarkEnd w:id="230"/>
      <w:bookmarkEnd w:id="231"/>
      <w:bookmarkEnd w:id="232"/>
      <w:bookmarkEnd w:id="233"/>
      <w:bookmarkEnd w:id="234"/>
      <w:bookmarkEnd w:id="235"/>
      <w:bookmarkEnd w:id="236"/>
      <w:bookmarkEnd w:id="237"/>
      <w:bookmarkEnd w:id="238"/>
    </w:p>
    <w:p>
      <w:pPr>
        <w:bidi w:val="0"/>
      </w:pPr>
      <w:r>
        <w:rPr>
          <w:rFonts w:hint="eastAsia"/>
        </w:rPr>
        <w:t>3.7.1  投标文件应按第六章“投标文件格式”进行编写，如有必要，可以增加附页，作为投标文件的组成部分。其中在满足招标文件实质性要求的基础上，可以提出比招标文件要求更有利于招标人的承诺。</w:t>
      </w:r>
    </w:p>
    <w:p>
      <w:pPr>
        <w:bidi w:val="0"/>
      </w:pPr>
      <w:r>
        <w:rPr>
          <w:rFonts w:hint="eastAsia"/>
        </w:rPr>
        <w:t>3.7.2  投标文件应当对招标文件有关交货期（或服务期限）、投标有效期、招标范围等实质性内容做出响应。</w:t>
      </w:r>
    </w:p>
    <w:p>
      <w:pPr>
        <w:bidi w:val="0"/>
        <w:rPr>
          <w:rFonts w:hint="eastAsia"/>
        </w:rPr>
      </w:pPr>
      <w:r>
        <w:rPr>
          <w:rFonts w:hint="eastAsia"/>
        </w:rPr>
        <w:t>3.7.3  签字盖章要求详见投标人须知前附表。</w:t>
      </w:r>
    </w:p>
    <w:p>
      <w:pPr>
        <w:bidi w:val="0"/>
      </w:pPr>
      <w:r>
        <w:rPr>
          <w:rFonts w:hint="eastAsia"/>
        </w:rPr>
        <w:t>3.7.</w:t>
      </w:r>
      <w:r>
        <w:rPr>
          <w:rFonts w:hint="eastAsia"/>
          <w:strike w:val="0"/>
          <w:dstrike w:val="0"/>
          <w:color w:val="75BD42"/>
          <w14:textFill>
            <w14:gradFill>
              <w14:gsLst>
                <w14:gs w14:pos="0">
                  <w14:srgbClr w14:val="14CD68"/>
                </w14:gs>
                <w14:gs w14:pos="100000">
                  <w14:srgbClr w14:val="035C7D"/>
                </w14:gs>
              </w14:gsLst>
              <w14:lin w14:scaled="0"/>
            </w14:gradFill>
          </w14:textFill>
          <w:lang w:val="en-US" w:eastAsia="zh-CN"/>
        </w:rPr>
        <w:t>4</w:t>
      </w:r>
      <w:r>
        <w:rPr>
          <w:rFonts w:hint="eastAsia"/>
        </w:rPr>
        <w:t xml:space="preserve">  投标文件的份数和装订要求详见投标人须知前附表规定。</w:t>
      </w:r>
    </w:p>
    <w:p>
      <w:pPr>
        <w:bidi w:val="0"/>
        <w:rPr>
          <w:b/>
          <w:bCs/>
        </w:rPr>
      </w:pPr>
      <w:bookmarkStart w:id="239" w:name="_Toc8297"/>
      <w:bookmarkStart w:id="240" w:name="_Toc22282"/>
      <w:bookmarkStart w:id="241" w:name="_Toc8201963"/>
      <w:bookmarkStart w:id="242" w:name="_Toc17074"/>
      <w:bookmarkStart w:id="243" w:name="_Toc26485"/>
      <w:bookmarkStart w:id="244" w:name="_Toc32009"/>
      <w:bookmarkStart w:id="245" w:name="_Toc32693"/>
      <w:bookmarkStart w:id="246" w:name="_Toc20580"/>
      <w:bookmarkStart w:id="247" w:name="_Toc24823"/>
      <w:bookmarkStart w:id="248" w:name="_Toc27054"/>
      <w:r>
        <w:rPr>
          <w:rFonts w:hint="eastAsia"/>
          <w:b/>
          <w:bCs/>
        </w:rPr>
        <w:t>4.  投标</w:t>
      </w:r>
      <w:bookmarkEnd w:id="239"/>
      <w:bookmarkEnd w:id="240"/>
      <w:bookmarkEnd w:id="241"/>
      <w:bookmarkEnd w:id="242"/>
      <w:bookmarkEnd w:id="243"/>
      <w:bookmarkEnd w:id="244"/>
      <w:bookmarkEnd w:id="245"/>
      <w:bookmarkEnd w:id="246"/>
      <w:bookmarkEnd w:id="247"/>
      <w:bookmarkEnd w:id="248"/>
    </w:p>
    <w:p>
      <w:pPr>
        <w:bidi w:val="0"/>
        <w:rPr>
          <w:b/>
          <w:bCs/>
        </w:rPr>
      </w:pPr>
      <w:bookmarkStart w:id="249" w:name="_Toc26162"/>
      <w:bookmarkStart w:id="250" w:name="_Toc28485"/>
      <w:bookmarkStart w:id="251" w:name="_Toc519"/>
      <w:bookmarkStart w:id="252" w:name="_Toc14264"/>
      <w:bookmarkStart w:id="253" w:name="_Toc32132"/>
      <w:bookmarkStart w:id="254" w:name="_Toc8201964"/>
      <w:bookmarkStart w:id="255" w:name="_Toc3040"/>
      <w:bookmarkStart w:id="256" w:name="_Toc15555"/>
      <w:bookmarkStart w:id="257" w:name="_Toc18792"/>
      <w:bookmarkStart w:id="258" w:name="_Toc31753"/>
      <w:r>
        <w:rPr>
          <w:rFonts w:hint="eastAsia"/>
          <w:b/>
          <w:bCs/>
        </w:rPr>
        <w:t>4.1  投标文件的密封和标记</w:t>
      </w:r>
      <w:bookmarkEnd w:id="249"/>
      <w:bookmarkEnd w:id="250"/>
      <w:bookmarkEnd w:id="251"/>
      <w:bookmarkEnd w:id="252"/>
      <w:bookmarkEnd w:id="253"/>
      <w:bookmarkEnd w:id="254"/>
      <w:bookmarkEnd w:id="255"/>
      <w:bookmarkEnd w:id="256"/>
      <w:bookmarkEnd w:id="257"/>
      <w:bookmarkEnd w:id="258"/>
    </w:p>
    <w:p>
      <w:pPr>
        <w:bidi w:val="0"/>
      </w:pPr>
      <w:r>
        <w:rPr>
          <w:rFonts w:hint="eastAsia"/>
        </w:rPr>
        <w:t>4.1.1  投标文件的密封详见投标人须知前附表。</w:t>
      </w:r>
    </w:p>
    <w:p>
      <w:pPr>
        <w:autoSpaceDE w:val="0"/>
        <w:autoSpaceDN w:val="0"/>
        <w:adjustRightInd w:val="0"/>
        <w:snapToGrid w:val="0"/>
        <w:spacing w:line="360" w:lineRule="auto"/>
        <w:ind w:firstLineChars="200" w:firstLine="420"/>
        <w:jc w:val="left"/>
        <w:rPr>
          <w:rFonts w:ascii="宋体" w:cs="宋体"/>
          <w:snapToGrid w:val="0"/>
          <w:color w:val="auto"/>
          <w:kern w:val="0"/>
          <w:highlight w:val="auto"/>
        </w:rPr>
      </w:pPr>
      <w:r>
        <w:rPr>
          <w:rFonts w:ascii="宋体" w:cs="宋体" w:hint="eastAsia"/>
          <w:snapToGrid w:val="0"/>
          <w:color w:val="auto"/>
          <w:kern w:val="0"/>
          <w:highlight w:val="auto"/>
        </w:rPr>
        <w:t>4.1.2  投标文件的封套上应写明的内容见投标人须知前附表。</w:t>
      </w:r>
    </w:p>
    <w:p>
      <w:pPr>
        <w:bidi w:val="0"/>
      </w:pPr>
      <w:r>
        <w:rPr>
          <w:rFonts w:hint="eastAsia"/>
        </w:rPr>
        <w:t>4.1.3  未按本章第 4.1.1 项或第 4.1.2 项要求密封和加写标记的投标文件，招标人不予受理。</w:t>
      </w:r>
    </w:p>
    <w:p>
      <w:pPr>
        <w:bidi w:val="0"/>
        <w:rPr>
          <w:b/>
          <w:bCs/>
        </w:rPr>
      </w:pPr>
      <w:bookmarkStart w:id="259" w:name="_Toc3795"/>
      <w:bookmarkStart w:id="260" w:name="_Toc10538"/>
      <w:bookmarkStart w:id="261" w:name="_Toc9809"/>
      <w:bookmarkStart w:id="262" w:name="_Toc2953"/>
      <w:bookmarkStart w:id="263" w:name="_Toc19249"/>
      <w:bookmarkStart w:id="264" w:name="_Toc9622"/>
      <w:bookmarkStart w:id="265" w:name="_Toc25785"/>
      <w:bookmarkStart w:id="266" w:name="_Toc10157"/>
      <w:bookmarkStart w:id="267" w:name="_Toc8201965"/>
      <w:bookmarkStart w:id="268" w:name="_Toc22415"/>
      <w:r>
        <w:rPr>
          <w:rFonts w:hint="eastAsia"/>
          <w:b/>
          <w:bCs/>
        </w:rPr>
        <w:t>4.2  投标文件的递交</w:t>
      </w:r>
      <w:bookmarkEnd w:id="259"/>
      <w:bookmarkEnd w:id="260"/>
      <w:bookmarkEnd w:id="261"/>
      <w:bookmarkEnd w:id="262"/>
      <w:bookmarkEnd w:id="263"/>
      <w:bookmarkEnd w:id="264"/>
      <w:bookmarkEnd w:id="265"/>
      <w:bookmarkEnd w:id="266"/>
      <w:bookmarkEnd w:id="267"/>
      <w:bookmarkEnd w:id="268"/>
    </w:p>
    <w:p>
      <w:pPr>
        <w:bidi w:val="0"/>
      </w:pPr>
      <w:r>
        <w:rPr>
          <w:rFonts w:hint="eastAsia"/>
        </w:rPr>
        <w:t>4.2.1  投标人应在本章第 2.2.2 项规定的投标截止时间前递交投标文件。</w:t>
      </w:r>
    </w:p>
    <w:p>
      <w:pPr>
        <w:bidi w:val="0"/>
      </w:pPr>
      <w:r>
        <w:rPr>
          <w:rFonts w:hint="eastAsia"/>
        </w:rPr>
        <w:t>4.2.2  投标人递交投标文件的地点及时间：见投标人须知前附表。</w:t>
      </w:r>
    </w:p>
    <w:p>
      <w:pPr>
        <w:bidi w:val="0"/>
      </w:pPr>
      <w:r>
        <w:rPr>
          <w:rFonts w:hint="eastAsia"/>
        </w:rPr>
        <w:t>4.2.3  除投标人须知前附表另有规定外，投标人所递交的投标文件不予退还。</w:t>
      </w:r>
    </w:p>
    <w:p>
      <w:pPr>
        <w:bidi w:val="0"/>
      </w:pPr>
      <w:r>
        <w:rPr>
          <w:rFonts w:hint="eastAsia"/>
        </w:rPr>
        <w:t>4.2.4  逾期送达的或者未送达指定地点的投标文件，招标人不予受理。</w:t>
      </w:r>
    </w:p>
    <w:p>
      <w:pPr>
        <w:bidi w:val="0"/>
        <w:rPr>
          <w:b/>
          <w:bCs/>
        </w:rPr>
      </w:pPr>
      <w:bookmarkStart w:id="269" w:name="_Toc25507"/>
      <w:bookmarkStart w:id="270" w:name="_Toc25241"/>
      <w:bookmarkStart w:id="271" w:name="_Toc24398"/>
      <w:bookmarkStart w:id="272" w:name="_Toc8201966"/>
      <w:bookmarkStart w:id="273" w:name="_Toc444"/>
      <w:bookmarkStart w:id="274" w:name="_Toc18469"/>
      <w:bookmarkStart w:id="275" w:name="_Toc24042"/>
      <w:bookmarkStart w:id="276" w:name="_Toc16763"/>
      <w:bookmarkStart w:id="277" w:name="_Toc10836"/>
      <w:bookmarkStart w:id="278" w:name="_Toc2944"/>
      <w:r>
        <w:rPr>
          <w:rFonts w:hint="eastAsia"/>
          <w:b/>
          <w:bCs/>
        </w:rPr>
        <w:t>4.3  投标文件的修改与撤回</w:t>
      </w:r>
      <w:bookmarkEnd w:id="269"/>
      <w:bookmarkEnd w:id="270"/>
      <w:bookmarkEnd w:id="271"/>
      <w:bookmarkEnd w:id="272"/>
      <w:bookmarkEnd w:id="273"/>
      <w:bookmarkEnd w:id="274"/>
      <w:bookmarkEnd w:id="275"/>
      <w:bookmarkEnd w:id="276"/>
      <w:bookmarkEnd w:id="277"/>
      <w:bookmarkEnd w:id="278"/>
    </w:p>
    <w:p>
      <w:pPr>
        <w:bidi w:val="0"/>
      </w:pPr>
      <w:r>
        <w:rPr>
          <w:rFonts w:hint="eastAsia"/>
        </w:rPr>
        <w:t>4.3.1  在本章第2.2.2项规定的投标截止时间前，投标人可以修改或撤回已递交的投标文件，但应以书面形式通知招标人。</w:t>
      </w:r>
    </w:p>
    <w:p>
      <w:pPr>
        <w:bidi w:val="0"/>
      </w:pPr>
      <w:r>
        <w:rPr>
          <w:rFonts w:hint="eastAsia"/>
        </w:rPr>
        <w:t>4.3.2  投标人修改或撤回已递交投标文件的书面通知应按照本章第3.7.3项的要求签字或盖章。招标人收到书面通知后，向投标人出具签收凭证。</w:t>
      </w:r>
    </w:p>
    <w:p>
      <w:pPr>
        <w:bidi w:val="0"/>
      </w:pPr>
      <w:r>
        <w:rPr>
          <w:rFonts w:hint="eastAsia"/>
        </w:rPr>
        <w:t>4.3.3  修改的内容为投标文件的组成部分。修改的投标文件应按照本章第3条、第4条规定进行编制、密封、标记和递交，并标明“修改”字样。</w:t>
      </w:r>
    </w:p>
    <w:p>
      <w:pPr>
        <w:bidi w:val="0"/>
        <w:rPr>
          <w:b/>
          <w:bCs/>
        </w:rPr>
      </w:pPr>
      <w:bookmarkStart w:id="279" w:name="_Toc30756"/>
      <w:bookmarkStart w:id="280" w:name="_Toc5971"/>
      <w:bookmarkStart w:id="281" w:name="_Toc3439"/>
      <w:bookmarkStart w:id="282" w:name="_Toc27458"/>
      <w:bookmarkStart w:id="283" w:name="_Toc12560"/>
      <w:bookmarkStart w:id="284" w:name="_Toc21474"/>
      <w:bookmarkStart w:id="285" w:name="_Toc28073"/>
      <w:bookmarkStart w:id="286" w:name="_Toc29970"/>
      <w:bookmarkStart w:id="287" w:name="_Toc8201971"/>
      <w:r>
        <w:rPr>
          <w:rFonts w:hint="eastAsia"/>
          <w:b/>
          <w:bCs/>
          <w:lang w:val="en-US" w:eastAsia="zh-CN"/>
        </w:rPr>
        <w:t>5</w:t>
      </w:r>
      <w:r>
        <w:rPr>
          <w:rFonts w:hint="eastAsia"/>
          <w:b/>
          <w:bCs/>
        </w:rPr>
        <w:t>.  评标</w:t>
      </w:r>
      <w:bookmarkEnd w:id="279"/>
      <w:bookmarkEnd w:id="280"/>
      <w:bookmarkEnd w:id="281"/>
      <w:bookmarkEnd w:id="282"/>
      <w:bookmarkEnd w:id="283"/>
      <w:bookmarkEnd w:id="284"/>
      <w:bookmarkEnd w:id="285"/>
      <w:bookmarkEnd w:id="286"/>
      <w:bookmarkEnd w:id="287"/>
    </w:p>
    <w:p>
      <w:pPr>
        <w:bidi w:val="0"/>
        <w:rPr>
          <w:rFonts w:eastAsia="宋体" w:hint="eastAsia"/>
          <w:b/>
          <w:bCs/>
          <w:lang w:eastAsia="zh-CN"/>
        </w:rPr>
      </w:pPr>
      <w:bookmarkStart w:id="288" w:name="_Toc26428"/>
      <w:bookmarkStart w:id="289" w:name="_Toc17918"/>
      <w:bookmarkStart w:id="290" w:name="_Toc1695"/>
      <w:bookmarkStart w:id="291" w:name="_Toc14572"/>
      <w:bookmarkStart w:id="292" w:name="_Toc25291"/>
      <w:bookmarkStart w:id="293" w:name="_Toc3846"/>
      <w:bookmarkStart w:id="294" w:name="_Toc23823"/>
      <w:bookmarkStart w:id="295" w:name="_Toc15682"/>
      <w:bookmarkStart w:id="296" w:name="_Toc3957"/>
      <w:bookmarkStart w:id="297" w:name="_Toc8201972"/>
      <w:r>
        <w:rPr>
          <w:rFonts w:hint="eastAsia"/>
          <w:b/>
          <w:bCs/>
          <w:lang w:val="en-US" w:eastAsia="zh-CN"/>
        </w:rPr>
        <w:t>5</w:t>
      </w:r>
      <w:r>
        <w:rPr>
          <w:rFonts w:hint="eastAsia"/>
          <w:b/>
          <w:bCs/>
        </w:rPr>
        <w:t xml:space="preserve">.1  </w:t>
      </w:r>
      <w:bookmarkEnd w:id="288"/>
      <w:bookmarkEnd w:id="289"/>
      <w:bookmarkEnd w:id="290"/>
      <w:bookmarkEnd w:id="291"/>
      <w:bookmarkEnd w:id="292"/>
      <w:bookmarkEnd w:id="293"/>
      <w:bookmarkEnd w:id="294"/>
      <w:bookmarkEnd w:id="295"/>
      <w:bookmarkEnd w:id="296"/>
      <w:bookmarkEnd w:id="297"/>
      <w:r>
        <w:rPr>
          <w:rFonts w:hint="eastAsia"/>
          <w:b/>
          <w:bCs/>
          <w:lang w:eastAsia="zh-CN"/>
        </w:rPr>
        <w:t>评审小组</w:t>
      </w:r>
    </w:p>
    <w:p>
      <w:pPr>
        <w:bidi w:val="0"/>
      </w:pPr>
      <w:r>
        <w:rPr>
          <w:rFonts w:hint="eastAsia"/>
          <w:lang w:val="en-US" w:eastAsia="zh-CN"/>
        </w:rPr>
        <w:t>5</w:t>
      </w:r>
      <w:r>
        <w:rPr>
          <w:rFonts w:hint="eastAsia"/>
        </w:rPr>
        <w:t>.1.1  评标由招标人依法组建的</w:t>
      </w:r>
      <w:r>
        <w:rPr>
          <w:rFonts w:hint="eastAsia"/>
          <w:lang w:eastAsia="zh-CN"/>
        </w:rPr>
        <w:t>评审小组</w:t>
      </w:r>
      <w:r>
        <w:rPr>
          <w:rFonts w:hint="eastAsia"/>
        </w:rPr>
        <w:t>负责。</w:t>
      </w:r>
      <w:r>
        <w:rPr>
          <w:rFonts w:hint="eastAsia"/>
          <w:lang w:eastAsia="zh-CN"/>
        </w:rPr>
        <w:t>评审小组</w:t>
      </w:r>
      <w:r>
        <w:rPr>
          <w:rFonts w:hint="eastAsia"/>
        </w:rPr>
        <w:t>由招标人熟悉相关业务的代表，以及有关技术、经济等方面的专家组成。</w:t>
      </w:r>
      <w:r>
        <w:rPr>
          <w:rFonts w:hint="eastAsia"/>
          <w:lang w:eastAsia="zh-CN"/>
        </w:rPr>
        <w:t>评审小组</w:t>
      </w:r>
      <w:r>
        <w:rPr>
          <w:rFonts w:hint="eastAsia"/>
        </w:rPr>
        <w:t>成员人数以及技术、经济等方面专家的确定方式见投标人须知前附表。</w:t>
      </w:r>
    </w:p>
    <w:p>
      <w:pPr>
        <w:bidi w:val="0"/>
      </w:pPr>
      <w:r>
        <w:rPr>
          <w:rFonts w:hint="eastAsia"/>
          <w:lang w:val="en-US" w:eastAsia="zh-CN"/>
        </w:rPr>
        <w:t>5</w:t>
      </w:r>
      <w:r>
        <w:rPr>
          <w:rFonts w:hint="eastAsia"/>
        </w:rPr>
        <w:t xml:space="preserve">.1.2  </w:t>
      </w:r>
      <w:r>
        <w:rPr>
          <w:rFonts w:hint="eastAsia"/>
          <w:lang w:eastAsia="zh-CN"/>
        </w:rPr>
        <w:t>评审小组</w:t>
      </w:r>
      <w:r>
        <w:rPr>
          <w:rFonts w:hint="eastAsia"/>
        </w:rPr>
        <w:t>成员有下列情形之一的，应当回避：</w:t>
      </w:r>
    </w:p>
    <w:p>
      <w:pPr>
        <w:bidi w:val="0"/>
      </w:pPr>
      <w:r>
        <w:rPr>
          <w:rFonts w:hint="eastAsia"/>
        </w:rPr>
        <w:t>（1）招标人或投标人的主要负责人的近亲属；</w:t>
      </w:r>
    </w:p>
    <w:p>
      <w:pPr>
        <w:bidi w:val="0"/>
      </w:pPr>
      <w:r>
        <w:rPr>
          <w:rFonts w:hint="eastAsia"/>
        </w:rPr>
        <w:t>（2）与投标人有利害关系，可能影响对投标公正评审的；</w:t>
      </w:r>
    </w:p>
    <w:p>
      <w:pPr>
        <w:bidi w:val="0"/>
      </w:pPr>
      <w:r>
        <w:rPr>
          <w:rFonts w:hint="eastAsia"/>
        </w:rPr>
        <w:t>（3）曾因在招标、评标以及其他与招标投标有关活动中从事违法行为而受过行政处罚或刑事处罚的。</w:t>
      </w:r>
    </w:p>
    <w:p>
      <w:pPr>
        <w:bidi w:val="0"/>
        <w:rPr>
          <w:b/>
          <w:bCs/>
        </w:rPr>
      </w:pPr>
      <w:bookmarkStart w:id="298" w:name="_Toc28203"/>
      <w:bookmarkStart w:id="299" w:name="_Toc375"/>
      <w:bookmarkStart w:id="300" w:name="_Toc10306"/>
      <w:bookmarkStart w:id="301" w:name="_Toc11566"/>
      <w:bookmarkStart w:id="302" w:name="_Toc8201973"/>
      <w:bookmarkStart w:id="303" w:name="_Toc7581"/>
      <w:bookmarkStart w:id="304" w:name="_Toc28335"/>
      <w:bookmarkStart w:id="305" w:name="_Toc30586"/>
      <w:bookmarkStart w:id="306" w:name="_Toc593"/>
      <w:bookmarkStart w:id="307" w:name="_Toc21470"/>
      <w:r>
        <w:rPr>
          <w:rFonts w:hint="eastAsia"/>
          <w:b/>
          <w:bCs/>
          <w:lang w:val="en-US" w:eastAsia="zh-CN"/>
        </w:rPr>
        <w:t>5</w:t>
      </w:r>
      <w:r>
        <w:rPr>
          <w:rFonts w:hint="eastAsia"/>
          <w:b/>
          <w:bCs/>
        </w:rPr>
        <w:t>.2  评标原则</w:t>
      </w:r>
      <w:bookmarkEnd w:id="298"/>
      <w:bookmarkEnd w:id="299"/>
      <w:bookmarkEnd w:id="300"/>
      <w:bookmarkEnd w:id="301"/>
      <w:bookmarkEnd w:id="302"/>
      <w:bookmarkEnd w:id="303"/>
      <w:bookmarkEnd w:id="304"/>
      <w:bookmarkEnd w:id="305"/>
      <w:bookmarkEnd w:id="306"/>
      <w:bookmarkEnd w:id="307"/>
    </w:p>
    <w:p>
      <w:pPr>
        <w:bidi w:val="0"/>
        <w:rPr>
          <w:rFonts w:ascii="宋体" w:cs="宋体"/>
          <w:snapToGrid w:val="0"/>
          <w:color w:val="auto"/>
          <w:kern w:val="0"/>
          <w:highlight w:val="auto"/>
        </w:rPr>
      </w:pPr>
      <w:r>
        <w:rPr>
          <w:rFonts w:hint="eastAsia"/>
        </w:rPr>
        <w:t>评标活动遵循公平、公正、科学和择优的原则。</w:t>
      </w:r>
    </w:p>
    <w:p>
      <w:pPr>
        <w:bidi w:val="0"/>
        <w:rPr>
          <w:b/>
          <w:bCs/>
        </w:rPr>
      </w:pPr>
      <w:bookmarkStart w:id="308" w:name="_Toc27322"/>
      <w:bookmarkStart w:id="309" w:name="_Toc22830"/>
      <w:bookmarkStart w:id="310" w:name="_Toc14740"/>
      <w:bookmarkStart w:id="311" w:name="_Toc3539"/>
      <w:bookmarkStart w:id="312" w:name="_Toc15667"/>
      <w:bookmarkStart w:id="313" w:name="_Toc21373"/>
      <w:bookmarkStart w:id="314" w:name="_Toc11462"/>
      <w:bookmarkStart w:id="315" w:name="_Toc19226"/>
      <w:bookmarkStart w:id="316" w:name="_Toc29843"/>
      <w:bookmarkStart w:id="317" w:name="_Toc8201974"/>
      <w:r>
        <w:rPr>
          <w:rFonts w:hint="eastAsia"/>
          <w:b/>
          <w:bCs/>
          <w:lang w:val="en-US" w:eastAsia="zh-CN"/>
        </w:rPr>
        <w:t>5</w:t>
      </w:r>
      <w:r>
        <w:rPr>
          <w:rFonts w:hint="eastAsia"/>
          <w:b/>
          <w:bCs/>
        </w:rPr>
        <w:t>.3  评标</w:t>
      </w:r>
      <w:bookmarkEnd w:id="308"/>
      <w:bookmarkEnd w:id="309"/>
      <w:bookmarkEnd w:id="310"/>
      <w:bookmarkEnd w:id="311"/>
      <w:bookmarkEnd w:id="312"/>
      <w:bookmarkEnd w:id="313"/>
      <w:bookmarkEnd w:id="314"/>
      <w:bookmarkEnd w:id="315"/>
      <w:bookmarkEnd w:id="316"/>
      <w:bookmarkEnd w:id="317"/>
    </w:p>
    <w:p>
      <w:pPr>
        <w:bidi w:val="0"/>
      </w:pPr>
      <w:r>
        <w:rPr>
          <w:rFonts w:hint="eastAsia"/>
          <w:lang w:eastAsia="zh-CN"/>
        </w:rPr>
        <w:t>评审小组</w:t>
      </w:r>
      <w:r>
        <w:rPr>
          <w:rFonts w:hint="eastAsia"/>
        </w:rPr>
        <w:t>按照第三章“评标办法”规定的方法、评审因素、标准和程序对投标文件进行评审。第三章“评标办法”没有规定的方法、评审因素和标准，不作为评标依据。</w:t>
      </w:r>
    </w:p>
    <w:p>
      <w:pPr>
        <w:bidi w:val="0"/>
        <w:rPr>
          <w:b/>
          <w:bCs/>
        </w:rPr>
      </w:pPr>
      <w:bookmarkStart w:id="318" w:name="_Toc13594"/>
      <w:bookmarkStart w:id="319" w:name="_Toc10393"/>
      <w:bookmarkStart w:id="320" w:name="_Toc26901"/>
      <w:bookmarkStart w:id="321" w:name="_Toc3522"/>
      <w:bookmarkStart w:id="322" w:name="_Toc1287"/>
      <w:bookmarkStart w:id="323" w:name="_Toc32500"/>
      <w:bookmarkStart w:id="324" w:name="_Toc12519"/>
      <w:bookmarkStart w:id="325" w:name="_Toc13126"/>
      <w:bookmarkStart w:id="326" w:name="_Toc26857"/>
      <w:bookmarkStart w:id="327" w:name="_Toc8201975"/>
      <w:r>
        <w:rPr>
          <w:rFonts w:hint="eastAsia"/>
          <w:b/>
          <w:bCs/>
          <w:lang w:val="en-US" w:eastAsia="zh-CN"/>
        </w:rPr>
        <w:t>6</w:t>
      </w:r>
      <w:r>
        <w:rPr>
          <w:rFonts w:hint="eastAsia"/>
          <w:b/>
          <w:bCs/>
        </w:rPr>
        <w:t>.  合同授予</w:t>
      </w:r>
      <w:bookmarkEnd w:id="318"/>
      <w:bookmarkEnd w:id="319"/>
      <w:bookmarkEnd w:id="320"/>
      <w:bookmarkEnd w:id="321"/>
      <w:bookmarkEnd w:id="322"/>
      <w:bookmarkEnd w:id="323"/>
      <w:bookmarkEnd w:id="324"/>
      <w:bookmarkEnd w:id="325"/>
      <w:bookmarkEnd w:id="326"/>
      <w:bookmarkEnd w:id="327"/>
    </w:p>
    <w:p>
      <w:pPr>
        <w:bidi w:val="0"/>
      </w:pPr>
      <w:bookmarkStart w:id="328" w:name="_Toc8142"/>
      <w:bookmarkStart w:id="329" w:name="_Toc30681"/>
      <w:bookmarkStart w:id="330" w:name="_Toc14114"/>
      <w:bookmarkStart w:id="331" w:name="_Toc26565"/>
      <w:bookmarkStart w:id="332" w:name="_Toc11930"/>
      <w:bookmarkStart w:id="333" w:name="_Toc6092"/>
      <w:bookmarkStart w:id="334" w:name="_Toc8201976"/>
      <w:bookmarkStart w:id="335" w:name="_Toc4022"/>
      <w:bookmarkStart w:id="336" w:name="_Toc13418"/>
      <w:bookmarkStart w:id="337" w:name="_Toc7100"/>
      <w:r>
        <w:rPr>
          <w:rFonts w:hint="eastAsia"/>
          <w:b/>
          <w:bCs/>
          <w:lang w:val="en-US" w:eastAsia="zh-CN"/>
        </w:rPr>
        <w:t>6</w:t>
      </w:r>
      <w:r>
        <w:rPr>
          <w:rFonts w:hint="eastAsia"/>
          <w:b/>
          <w:bCs/>
        </w:rPr>
        <w:t>.1  定标方式</w:t>
      </w:r>
      <w:bookmarkEnd w:id="328"/>
      <w:bookmarkEnd w:id="329"/>
      <w:bookmarkEnd w:id="330"/>
      <w:bookmarkEnd w:id="331"/>
      <w:bookmarkEnd w:id="332"/>
      <w:bookmarkEnd w:id="333"/>
      <w:bookmarkEnd w:id="334"/>
      <w:bookmarkEnd w:id="335"/>
      <w:bookmarkEnd w:id="336"/>
      <w:bookmarkEnd w:id="337"/>
    </w:p>
    <w:p>
      <w:pPr>
        <w:bidi w:val="0"/>
      </w:pPr>
      <w:r>
        <w:rPr>
          <w:rFonts w:hint="eastAsia"/>
          <w:lang w:val="en-US" w:eastAsia="zh-CN"/>
        </w:rPr>
        <w:t>6</w:t>
      </w:r>
      <w:r>
        <w:rPr>
          <w:rFonts w:hint="eastAsia"/>
        </w:rPr>
        <w:t>.1.1是否授权</w:t>
      </w:r>
      <w:r>
        <w:rPr>
          <w:rFonts w:hint="eastAsia"/>
          <w:lang w:eastAsia="zh-CN"/>
        </w:rPr>
        <w:t>评审小组</w:t>
      </w:r>
      <w:r>
        <w:rPr>
          <w:rFonts w:hint="eastAsia"/>
        </w:rPr>
        <w:t>确定中标人，详见投标人须知前附表。</w:t>
      </w:r>
    </w:p>
    <w:p>
      <w:pPr>
        <w:bidi w:val="0"/>
        <w:rPr>
          <w:rFonts w:ascii="宋体" w:cs="宋体"/>
          <w:snapToGrid w:val="0"/>
          <w:color w:val="auto"/>
          <w:kern w:val="0"/>
          <w:highlight w:val="auto"/>
        </w:rPr>
      </w:pPr>
      <w:r>
        <w:rPr>
          <w:rFonts w:hint="eastAsia"/>
          <w:lang w:val="en-US" w:eastAsia="zh-CN"/>
        </w:rPr>
        <w:t>6</w:t>
      </w:r>
      <w:r>
        <w:rPr>
          <w:rFonts w:hint="eastAsia"/>
        </w:rPr>
        <w:t>.1.2国有资金占控股或主导地位的依法必须进行招标的项目，招标人应当确定</w:t>
      </w:r>
      <w:r>
        <w:rPr>
          <w:rFonts w:hint="eastAsia"/>
          <w:lang w:eastAsia="zh-CN"/>
        </w:rPr>
        <w:t>评审小组</w:t>
      </w:r>
      <w:r>
        <w:rPr>
          <w:rFonts w:hint="eastAsia"/>
        </w:rPr>
        <w:t>按照本招标文件规定的评标办法推荐的排名的中标候选人里确定中标人。中标候选人放弃中标、因不可抗力不能履行合同，或者被查实存在影响中标结果的违法行为等情形，不符合中标条件的，招标人可以按照</w:t>
      </w:r>
      <w:r>
        <w:rPr>
          <w:rFonts w:hint="eastAsia"/>
          <w:lang w:eastAsia="zh-CN"/>
        </w:rPr>
        <w:t>评审小组</w:t>
      </w:r>
      <w:r>
        <w:rPr>
          <w:rFonts w:hint="eastAsia"/>
        </w:rPr>
        <w:t>提出的中标候选人名单排序依次确定其他中标候选人为中标单位，也可以重新招标。</w:t>
      </w:r>
    </w:p>
    <w:p>
      <w:pPr>
        <w:bidi w:val="0"/>
      </w:pPr>
      <w:bookmarkStart w:id="338" w:name="_Toc8201977"/>
      <w:bookmarkStart w:id="339" w:name="_Toc28359"/>
      <w:bookmarkStart w:id="340" w:name="_Toc32698"/>
      <w:bookmarkStart w:id="341" w:name="_Toc32148"/>
      <w:bookmarkStart w:id="342" w:name="_Toc17626"/>
      <w:bookmarkStart w:id="343" w:name="_Toc3875"/>
      <w:bookmarkStart w:id="344" w:name="_Toc16512"/>
      <w:bookmarkStart w:id="345" w:name="_Toc21808"/>
      <w:bookmarkStart w:id="346" w:name="_Toc22078"/>
      <w:bookmarkStart w:id="347" w:name="_Toc20038"/>
      <w:r>
        <w:rPr>
          <w:rFonts w:hint="eastAsia"/>
          <w:b/>
          <w:bCs/>
          <w:lang w:val="en-US" w:eastAsia="zh-CN"/>
        </w:rPr>
        <w:t>6</w:t>
      </w:r>
      <w:r>
        <w:rPr>
          <w:rFonts w:hint="eastAsia"/>
          <w:b/>
          <w:bCs/>
        </w:rPr>
        <w:t>.2  中标通知</w:t>
      </w:r>
      <w:bookmarkEnd w:id="338"/>
      <w:bookmarkEnd w:id="339"/>
      <w:bookmarkEnd w:id="340"/>
      <w:bookmarkEnd w:id="341"/>
      <w:bookmarkEnd w:id="342"/>
      <w:bookmarkEnd w:id="343"/>
      <w:bookmarkEnd w:id="344"/>
      <w:bookmarkEnd w:id="345"/>
      <w:bookmarkEnd w:id="346"/>
      <w:bookmarkEnd w:id="347"/>
    </w:p>
    <w:p>
      <w:pPr>
        <w:bidi w:val="0"/>
      </w:pPr>
      <w:r>
        <w:rPr>
          <w:rFonts w:hint="eastAsia"/>
        </w:rPr>
        <w:t>在本章第 3.3 款规定的投标有效期内，招标人以书面形式向中标人发出中标通知书，同时将中标结果通知未中标的投标人。</w:t>
      </w:r>
    </w:p>
    <w:p>
      <w:pPr>
        <w:bidi w:val="0"/>
        <w:rPr>
          <w:b/>
          <w:bCs/>
        </w:rPr>
      </w:pPr>
      <w:bookmarkStart w:id="348" w:name="_Toc25020"/>
      <w:bookmarkStart w:id="349" w:name="_Toc8201978"/>
      <w:bookmarkStart w:id="350" w:name="_Toc12098"/>
      <w:bookmarkStart w:id="351" w:name="_Toc3106"/>
      <w:bookmarkStart w:id="352" w:name="_Toc28094"/>
      <w:bookmarkStart w:id="353" w:name="_Toc18023"/>
      <w:bookmarkStart w:id="354" w:name="_Toc31927"/>
      <w:bookmarkStart w:id="355" w:name="_Toc29730"/>
      <w:bookmarkStart w:id="356" w:name="_Toc28342"/>
      <w:bookmarkStart w:id="357" w:name="_Toc6709"/>
      <w:r>
        <w:rPr>
          <w:rFonts w:hint="eastAsia"/>
          <w:b/>
          <w:bCs/>
          <w:lang w:val="en-US" w:eastAsia="zh-CN"/>
        </w:rPr>
        <w:t>6</w:t>
      </w:r>
      <w:r>
        <w:rPr>
          <w:rFonts w:hint="eastAsia"/>
          <w:b/>
          <w:bCs/>
        </w:rPr>
        <w:t>.3  签订合同</w:t>
      </w:r>
      <w:bookmarkEnd w:id="348"/>
      <w:bookmarkEnd w:id="349"/>
      <w:bookmarkEnd w:id="350"/>
      <w:bookmarkEnd w:id="351"/>
      <w:bookmarkEnd w:id="352"/>
      <w:bookmarkEnd w:id="353"/>
      <w:bookmarkEnd w:id="354"/>
      <w:bookmarkEnd w:id="355"/>
      <w:bookmarkEnd w:id="356"/>
      <w:bookmarkEnd w:id="357"/>
    </w:p>
    <w:p>
      <w:pPr>
        <w:bidi w:val="0"/>
      </w:pPr>
      <w:r>
        <w:rPr>
          <w:rFonts w:hint="eastAsia"/>
          <w:lang w:val="en-US" w:eastAsia="zh-CN"/>
        </w:rPr>
        <w:t>6</w:t>
      </w:r>
      <w:r>
        <w:rPr>
          <w:rFonts w:hint="eastAsia"/>
        </w:rPr>
        <w:t>.3.1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bidi w:val="0"/>
        <w:rPr>
          <w:rFonts w:hint="eastAsia"/>
        </w:rPr>
      </w:pPr>
      <w:r>
        <w:rPr>
          <w:rFonts w:hint="eastAsia"/>
          <w:lang w:val="en-US" w:eastAsia="zh-CN"/>
        </w:rPr>
        <w:t>6</w:t>
      </w:r>
      <w:r>
        <w:rPr>
          <w:rFonts w:hint="eastAsia"/>
        </w:rPr>
        <w:t>.3.2 发出中标通知书后，招标人无正当理由拒签合同的，招标人向中标人退还投标保证金；给中标人造成损失的，还应当赔偿损失。</w:t>
      </w:r>
    </w:p>
    <w:p>
      <w:pPr>
        <w:bidi w:val="0"/>
        <w:rPr>
          <w:rFonts w:hint="eastAsia"/>
        </w:rPr>
      </w:pPr>
      <w:r>
        <w:rPr>
          <w:rFonts w:hint="eastAsia"/>
          <w:lang w:val="en-US" w:eastAsia="zh-CN"/>
        </w:rPr>
        <w:t>6</w:t>
      </w:r>
      <w:r>
        <w:rPr>
          <w:rFonts w:hint="eastAsia"/>
        </w:rPr>
        <w:t>.3.3详见投标人须知前附表。</w:t>
      </w:r>
    </w:p>
    <w:p>
      <w:pPr>
        <w:bidi w:val="0"/>
      </w:pPr>
      <w:r>
        <w:rPr>
          <w:rFonts w:hint="eastAsia"/>
          <w:lang w:val="en-US" w:eastAsia="zh-CN"/>
        </w:rPr>
        <w:t>6</w:t>
      </w:r>
      <w:r>
        <w:rPr>
          <w:rFonts w:hint="eastAsia"/>
        </w:rPr>
        <w:t>.3.4详见投标人须知前附表。</w:t>
      </w:r>
    </w:p>
    <w:p>
      <w:pPr>
        <w:bidi w:val="0"/>
        <w:rPr>
          <w:b/>
          <w:bCs/>
        </w:rPr>
      </w:pPr>
      <w:bookmarkStart w:id="358" w:name="_Toc3310"/>
      <w:bookmarkStart w:id="359" w:name="_Toc24915"/>
      <w:bookmarkStart w:id="360" w:name="_Toc26809"/>
      <w:bookmarkStart w:id="361" w:name="_Toc2491"/>
      <w:bookmarkStart w:id="362" w:name="_Toc18698"/>
      <w:bookmarkStart w:id="363" w:name="_Toc8132"/>
      <w:bookmarkStart w:id="364" w:name="_Toc1342"/>
      <w:bookmarkStart w:id="365" w:name="_Toc21152"/>
      <w:bookmarkStart w:id="366" w:name="_Toc9384"/>
      <w:bookmarkStart w:id="367" w:name="_Toc8201979"/>
      <w:r>
        <w:rPr>
          <w:rFonts w:hint="eastAsia"/>
          <w:b/>
          <w:bCs/>
          <w:lang w:val="en-US" w:eastAsia="zh-CN"/>
        </w:rPr>
        <w:t>6</w:t>
      </w:r>
      <w:r>
        <w:rPr>
          <w:b/>
          <w:bCs/>
        </w:rPr>
        <w:t>.</w:t>
      </w:r>
      <w:r>
        <w:rPr>
          <w:rFonts w:hint="eastAsia"/>
          <w:b/>
          <w:bCs/>
        </w:rPr>
        <w:t>4</w:t>
      </w:r>
      <w:r>
        <w:rPr>
          <w:b/>
          <w:bCs/>
        </w:rPr>
        <w:t xml:space="preserve"> 履约保证金</w:t>
      </w:r>
      <w:bookmarkEnd w:id="358"/>
      <w:bookmarkEnd w:id="359"/>
      <w:bookmarkEnd w:id="360"/>
      <w:bookmarkEnd w:id="361"/>
      <w:bookmarkEnd w:id="362"/>
      <w:bookmarkEnd w:id="363"/>
      <w:bookmarkEnd w:id="364"/>
      <w:bookmarkEnd w:id="365"/>
      <w:bookmarkEnd w:id="366"/>
      <w:bookmarkEnd w:id="367"/>
    </w:p>
    <w:p>
      <w:pPr>
        <w:bidi w:val="0"/>
        <w:rPr>
          <w:rFonts w:eastAsia="宋体" w:hint="eastAsia"/>
          <w:lang w:val="en-US" w:eastAsia="zh-CN"/>
        </w:rPr>
      </w:pPr>
      <w:bookmarkStart w:id="368" w:name="_Toc19425"/>
      <w:bookmarkStart w:id="369" w:name="_Toc8201980"/>
      <w:bookmarkStart w:id="370" w:name="_Toc6349"/>
      <w:bookmarkStart w:id="371" w:name="_Toc12690"/>
      <w:bookmarkStart w:id="372" w:name="_Toc4401"/>
      <w:bookmarkStart w:id="373" w:name="_Toc3112"/>
      <w:bookmarkStart w:id="374" w:name="_Toc13451"/>
      <w:bookmarkStart w:id="375" w:name="_Toc2975"/>
      <w:bookmarkStart w:id="376" w:name="_Toc27794"/>
      <w:r>
        <w:rPr>
          <w:rFonts w:hint="eastAsia"/>
          <w:lang w:val="en-US" w:eastAsia="zh-CN"/>
        </w:rPr>
        <w:t>无。</w:t>
      </w:r>
    </w:p>
    <w:p>
      <w:pPr>
        <w:bidi w:val="0"/>
        <w:rPr>
          <w:b/>
          <w:bCs/>
        </w:rPr>
      </w:pPr>
      <w:bookmarkStart w:id="377" w:name="_Toc21448"/>
      <w:r>
        <w:rPr>
          <w:rFonts w:hint="eastAsia"/>
          <w:b/>
          <w:bCs/>
          <w:lang w:val="en-US" w:eastAsia="zh-CN"/>
        </w:rPr>
        <w:t>7</w:t>
      </w:r>
      <w:r>
        <w:rPr>
          <w:rFonts w:hint="eastAsia"/>
          <w:b/>
          <w:bCs/>
        </w:rPr>
        <w:t>.  重新招标和不再招标</w:t>
      </w:r>
      <w:bookmarkEnd w:id="368"/>
      <w:bookmarkEnd w:id="369"/>
      <w:bookmarkEnd w:id="370"/>
      <w:bookmarkEnd w:id="371"/>
      <w:bookmarkEnd w:id="372"/>
      <w:bookmarkEnd w:id="373"/>
      <w:bookmarkEnd w:id="374"/>
      <w:bookmarkEnd w:id="375"/>
      <w:bookmarkEnd w:id="376"/>
      <w:bookmarkEnd w:id="377"/>
    </w:p>
    <w:p>
      <w:pPr>
        <w:bidi w:val="0"/>
      </w:pPr>
      <w:bookmarkStart w:id="378" w:name="_Toc16476"/>
      <w:bookmarkStart w:id="379" w:name="_Toc22201"/>
      <w:bookmarkStart w:id="380" w:name="_Toc21159"/>
      <w:bookmarkStart w:id="381" w:name="_Toc21573"/>
      <w:bookmarkStart w:id="382" w:name="_Toc24334"/>
      <w:bookmarkStart w:id="383" w:name="_Toc21056"/>
      <w:bookmarkStart w:id="384" w:name="_Toc16249"/>
      <w:bookmarkStart w:id="385" w:name="_Toc11871"/>
      <w:bookmarkStart w:id="386" w:name="_Toc11858"/>
      <w:bookmarkStart w:id="387" w:name="_Toc8201981"/>
      <w:r>
        <w:rPr>
          <w:rFonts w:hint="eastAsia"/>
          <w:b/>
          <w:bCs/>
          <w:lang w:val="en-US" w:eastAsia="zh-CN"/>
        </w:rPr>
        <w:t>7</w:t>
      </w:r>
      <w:r>
        <w:rPr>
          <w:rFonts w:hint="eastAsia"/>
          <w:b/>
          <w:bCs/>
        </w:rPr>
        <w:t>.1  重新招标</w:t>
      </w:r>
      <w:bookmarkEnd w:id="378"/>
      <w:bookmarkEnd w:id="379"/>
      <w:bookmarkEnd w:id="380"/>
      <w:bookmarkEnd w:id="381"/>
      <w:bookmarkEnd w:id="382"/>
      <w:bookmarkEnd w:id="383"/>
      <w:bookmarkEnd w:id="384"/>
      <w:bookmarkEnd w:id="385"/>
      <w:bookmarkEnd w:id="386"/>
      <w:bookmarkEnd w:id="387"/>
    </w:p>
    <w:p>
      <w:pPr>
        <w:bidi w:val="0"/>
        <w:rPr>
          <w:rFonts w:hint="eastAsia"/>
        </w:rPr>
      </w:pPr>
      <w:r>
        <w:rPr>
          <w:rFonts w:hint="eastAsia"/>
        </w:rPr>
        <w:t>详见投标人须知前附表。</w:t>
      </w:r>
    </w:p>
    <w:p>
      <w:pPr>
        <w:bidi w:val="0"/>
        <w:rPr>
          <w:b/>
          <w:bCs/>
        </w:rPr>
      </w:pPr>
      <w:bookmarkStart w:id="388" w:name="_Toc1896"/>
      <w:bookmarkStart w:id="389" w:name="_Toc28415"/>
      <w:bookmarkStart w:id="390" w:name="_Toc31748"/>
      <w:bookmarkStart w:id="391" w:name="_Toc22775"/>
      <w:bookmarkStart w:id="392" w:name="_Toc9679"/>
      <w:bookmarkStart w:id="393" w:name="_Toc31565"/>
      <w:bookmarkStart w:id="394" w:name="_Toc12508"/>
      <w:bookmarkStart w:id="395" w:name="_Toc25603"/>
      <w:bookmarkStart w:id="396" w:name="_Toc13726"/>
      <w:bookmarkStart w:id="397" w:name="_Toc8201982"/>
      <w:r>
        <w:rPr>
          <w:rFonts w:hint="eastAsia"/>
          <w:b/>
          <w:bCs/>
          <w:lang w:val="en-US" w:eastAsia="zh-CN"/>
        </w:rPr>
        <w:t>7</w:t>
      </w:r>
      <w:r>
        <w:rPr>
          <w:rFonts w:hint="eastAsia"/>
          <w:b/>
          <w:bCs/>
        </w:rPr>
        <w:t>.2  重新招标和不再招标</w:t>
      </w:r>
      <w:bookmarkEnd w:id="388"/>
      <w:bookmarkEnd w:id="389"/>
      <w:bookmarkEnd w:id="390"/>
      <w:bookmarkEnd w:id="391"/>
      <w:bookmarkEnd w:id="392"/>
      <w:bookmarkEnd w:id="393"/>
      <w:bookmarkEnd w:id="394"/>
      <w:bookmarkEnd w:id="395"/>
      <w:bookmarkEnd w:id="396"/>
      <w:bookmarkEnd w:id="397"/>
    </w:p>
    <w:p>
      <w:pPr>
        <w:bidi w:val="0"/>
      </w:pPr>
      <w:bookmarkStart w:id="398" w:name="_Toc200513172"/>
      <w:bookmarkStart w:id="399" w:name="_Toc479086580"/>
      <w:bookmarkStart w:id="400" w:name="_Toc475545971"/>
      <w:bookmarkStart w:id="401" w:name="_Toc454959666"/>
      <w:bookmarkStart w:id="402" w:name="_Toc453951167"/>
      <w:bookmarkStart w:id="403" w:name="_Toc454962897"/>
      <w:bookmarkStart w:id="404" w:name="_Toc385234403"/>
      <w:r>
        <w:rPr>
          <w:rFonts w:hint="eastAsia"/>
        </w:rPr>
        <w:t>详见投标人须知前附表。</w:t>
      </w:r>
    </w:p>
    <w:p>
      <w:pPr>
        <w:bidi w:val="0"/>
        <w:rPr>
          <w:b/>
          <w:bCs/>
        </w:rPr>
      </w:pPr>
      <w:bookmarkStart w:id="405" w:name="_Toc7110"/>
      <w:bookmarkStart w:id="406" w:name="_Toc29203"/>
      <w:bookmarkStart w:id="407" w:name="_Toc10198"/>
      <w:bookmarkStart w:id="408" w:name="_Toc23671"/>
      <w:bookmarkStart w:id="409" w:name="_Toc8201983"/>
      <w:bookmarkStart w:id="410" w:name="_Toc608"/>
      <w:bookmarkStart w:id="411" w:name="_Toc10590"/>
      <w:bookmarkStart w:id="412" w:name="_Toc14732"/>
      <w:bookmarkStart w:id="413" w:name="_Toc29442"/>
      <w:r>
        <w:rPr>
          <w:rFonts w:hint="eastAsia"/>
          <w:b/>
          <w:bCs/>
          <w:lang w:val="en-US" w:eastAsia="zh-CN"/>
        </w:rPr>
        <w:t>8</w:t>
      </w:r>
      <w:r>
        <w:rPr>
          <w:rFonts w:hint="eastAsia"/>
          <w:b/>
          <w:bCs/>
        </w:rPr>
        <w:t>.  纪律和监督</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bidi w:val="0"/>
      </w:pPr>
      <w:bookmarkStart w:id="414" w:name="_Toc12742"/>
      <w:bookmarkStart w:id="415" w:name="_Toc12953"/>
      <w:bookmarkStart w:id="416" w:name="_Toc17635"/>
      <w:bookmarkStart w:id="417" w:name="_Toc6782"/>
      <w:bookmarkStart w:id="418" w:name="_Toc14058"/>
      <w:bookmarkStart w:id="419" w:name="_Toc13499"/>
      <w:bookmarkStart w:id="420" w:name="_Toc8201984"/>
      <w:bookmarkStart w:id="421" w:name="_Toc16670"/>
      <w:bookmarkStart w:id="422" w:name="_Toc19554"/>
      <w:bookmarkStart w:id="423" w:name="_Toc31155"/>
      <w:r>
        <w:rPr>
          <w:rFonts w:hint="eastAsia"/>
          <w:b/>
          <w:bCs/>
          <w:lang w:val="en-US" w:eastAsia="zh-CN"/>
        </w:rPr>
        <w:t>8</w:t>
      </w:r>
      <w:r>
        <w:rPr>
          <w:rFonts w:hint="eastAsia"/>
          <w:b/>
          <w:bCs/>
        </w:rPr>
        <w:t>.1  对招标人的纪律要求</w:t>
      </w:r>
      <w:bookmarkEnd w:id="414"/>
      <w:bookmarkEnd w:id="415"/>
      <w:bookmarkEnd w:id="416"/>
      <w:bookmarkEnd w:id="417"/>
      <w:bookmarkEnd w:id="418"/>
      <w:bookmarkEnd w:id="419"/>
      <w:bookmarkEnd w:id="420"/>
      <w:bookmarkEnd w:id="421"/>
      <w:bookmarkEnd w:id="422"/>
      <w:bookmarkEnd w:id="423"/>
    </w:p>
    <w:p>
      <w:pPr>
        <w:bidi w:val="0"/>
      </w:pPr>
      <w:r>
        <w:rPr>
          <w:rFonts w:hint="eastAsia"/>
        </w:rPr>
        <w:t>招标人不得泄漏招标投标活动中应当保密的情况和资料，不得与投标人串通损害国家利益、社会公共利益或者他人合法权益，禁止招标人与投标人串通投标。</w:t>
      </w:r>
    </w:p>
    <w:p>
      <w:pPr>
        <w:bidi w:val="0"/>
      </w:pPr>
      <w:r>
        <w:rPr>
          <w:rFonts w:hint="eastAsia"/>
        </w:rPr>
        <w:t>有下列情形之一的，属于招标人与投标人串通投标：</w:t>
      </w:r>
    </w:p>
    <w:p>
      <w:pPr>
        <w:bidi w:val="0"/>
      </w:pPr>
      <w:r>
        <w:rPr>
          <w:rFonts w:hint="eastAsia"/>
        </w:rPr>
        <w:t>（1）招标人在开标前开启投标文件并将有关信息泄露给其他投标人；</w:t>
      </w:r>
    </w:p>
    <w:p>
      <w:pPr>
        <w:bidi w:val="0"/>
      </w:pPr>
      <w:r>
        <w:rPr>
          <w:rFonts w:hint="eastAsia"/>
        </w:rPr>
        <w:t>（2）招标人直接或者间接向投标人泄露标底、</w:t>
      </w:r>
      <w:r>
        <w:rPr>
          <w:rFonts w:hint="eastAsia"/>
          <w:lang w:eastAsia="zh-CN"/>
        </w:rPr>
        <w:t>评审小组</w:t>
      </w:r>
      <w:r>
        <w:rPr>
          <w:rFonts w:hint="eastAsia"/>
        </w:rPr>
        <w:t>成员等信息；</w:t>
      </w:r>
    </w:p>
    <w:p>
      <w:pPr>
        <w:bidi w:val="0"/>
      </w:pPr>
      <w:r>
        <w:rPr>
          <w:rFonts w:hint="eastAsia"/>
        </w:rPr>
        <w:t>（3）招标人明示或者暗示投标人压低或者抬高投标报价；</w:t>
      </w:r>
    </w:p>
    <w:p>
      <w:pPr>
        <w:bidi w:val="0"/>
      </w:pPr>
      <w:r>
        <w:rPr>
          <w:rFonts w:hint="eastAsia"/>
        </w:rPr>
        <w:t>（4）招标人授意投标人撤换、修改投标文件；</w:t>
      </w:r>
    </w:p>
    <w:p>
      <w:pPr>
        <w:bidi w:val="0"/>
      </w:pPr>
      <w:r>
        <w:rPr>
          <w:rFonts w:hint="eastAsia"/>
        </w:rPr>
        <w:t>（5）招标人明示或者暗示投标人为特定投标人中标提供方便；</w:t>
      </w:r>
    </w:p>
    <w:p>
      <w:pPr>
        <w:bidi w:val="0"/>
        <w:rPr>
          <w:rFonts w:ascii="宋体" w:cs="宋体"/>
          <w:snapToGrid w:val="0"/>
          <w:color w:val="auto"/>
          <w:kern w:val="0"/>
          <w:highlight w:val="auto"/>
        </w:rPr>
      </w:pPr>
      <w:r>
        <w:rPr>
          <w:rFonts w:hint="eastAsia"/>
        </w:rPr>
        <w:t>（6）招标人与投标人为谋求特定投标人中标而采取的其他串通行为。</w:t>
      </w:r>
    </w:p>
    <w:p>
      <w:pPr>
        <w:bidi w:val="0"/>
        <w:rPr>
          <w:b/>
          <w:bCs/>
        </w:rPr>
      </w:pPr>
      <w:bookmarkStart w:id="424" w:name="_Toc9665"/>
      <w:bookmarkStart w:id="425" w:name="_Toc8201985"/>
      <w:bookmarkStart w:id="426" w:name="_Toc20981"/>
      <w:bookmarkStart w:id="427" w:name="_Toc26137"/>
      <w:bookmarkStart w:id="428" w:name="_Toc26887"/>
      <w:bookmarkStart w:id="429" w:name="_Toc21963"/>
      <w:bookmarkStart w:id="430" w:name="_Toc32225"/>
      <w:bookmarkStart w:id="431" w:name="_Toc25460"/>
      <w:bookmarkStart w:id="432" w:name="_Toc31174"/>
      <w:bookmarkStart w:id="433" w:name="_Toc2403"/>
      <w:r>
        <w:rPr>
          <w:rFonts w:hint="eastAsia"/>
          <w:b/>
          <w:bCs/>
          <w:lang w:val="en-US" w:eastAsia="zh-CN"/>
        </w:rPr>
        <w:t>8</w:t>
      </w:r>
      <w:r>
        <w:rPr>
          <w:rFonts w:hint="eastAsia"/>
          <w:b/>
          <w:bCs/>
        </w:rPr>
        <w:t>.2  对投标人的纪律要求</w:t>
      </w:r>
      <w:bookmarkEnd w:id="424"/>
      <w:bookmarkEnd w:id="425"/>
      <w:bookmarkEnd w:id="426"/>
      <w:bookmarkEnd w:id="427"/>
      <w:bookmarkEnd w:id="428"/>
      <w:bookmarkEnd w:id="429"/>
      <w:bookmarkEnd w:id="430"/>
      <w:bookmarkEnd w:id="431"/>
      <w:bookmarkEnd w:id="432"/>
      <w:bookmarkEnd w:id="433"/>
    </w:p>
    <w:p>
      <w:pPr>
        <w:bidi w:val="0"/>
      </w:pPr>
      <w:r>
        <w:rPr>
          <w:rFonts w:hint="eastAsia"/>
        </w:rPr>
        <w:t>投标人不得相互串通投标或者与招标人串通投标，不得向招标人或者</w:t>
      </w:r>
      <w:r>
        <w:rPr>
          <w:rFonts w:hint="eastAsia"/>
          <w:lang w:eastAsia="zh-CN"/>
        </w:rPr>
        <w:t>评审小组</w:t>
      </w:r>
      <w:r>
        <w:rPr>
          <w:rFonts w:hint="eastAsia"/>
        </w:rPr>
        <w:t>成员行贿谋取中标，不得以他人名义投标或者以其他方式弄虚作假骗取中标；投标人不得以任何方式干扰、影响评标工作。</w:t>
      </w:r>
    </w:p>
    <w:p>
      <w:pPr>
        <w:bidi w:val="0"/>
      </w:pPr>
      <w:r>
        <w:rPr>
          <w:rFonts w:hint="eastAsia"/>
        </w:rPr>
        <w:t>有下列情形之一的，属于投标人相互串通投标：</w:t>
      </w:r>
    </w:p>
    <w:p>
      <w:pPr>
        <w:bidi w:val="0"/>
      </w:pPr>
      <w:r>
        <w:rPr>
          <w:rFonts w:hint="eastAsia"/>
        </w:rPr>
        <w:t>（1）投标人之间协商投标报价等投标文件的实质性内容；</w:t>
      </w:r>
    </w:p>
    <w:p>
      <w:pPr>
        <w:bidi w:val="0"/>
      </w:pPr>
      <w:r>
        <w:rPr>
          <w:rFonts w:hint="eastAsia"/>
        </w:rPr>
        <w:t>（2）投标人之间约定中标人；</w:t>
      </w:r>
    </w:p>
    <w:p>
      <w:pPr>
        <w:bidi w:val="0"/>
      </w:pPr>
      <w:r>
        <w:rPr>
          <w:rFonts w:hint="eastAsia"/>
        </w:rPr>
        <w:t>（3）投标人之间约定部分投标人放弃投标或者中标；</w:t>
      </w:r>
    </w:p>
    <w:p>
      <w:pPr>
        <w:bidi w:val="0"/>
      </w:pPr>
      <w:r>
        <w:rPr>
          <w:rFonts w:hint="eastAsia"/>
        </w:rPr>
        <w:t>（4）属于同一集团、协会、商会等组织成员的投标人按照该组织要求协同投标；</w:t>
      </w:r>
    </w:p>
    <w:p>
      <w:pPr>
        <w:bidi w:val="0"/>
      </w:pPr>
      <w:r>
        <w:rPr>
          <w:rFonts w:hint="eastAsia"/>
        </w:rPr>
        <w:t>（5）投标人之间为谋取中标或者排斥特定投标人而采取的其他联合行动。</w:t>
      </w:r>
    </w:p>
    <w:p>
      <w:pPr>
        <w:bidi w:val="0"/>
      </w:pPr>
      <w:r>
        <w:rPr>
          <w:rFonts w:hint="eastAsia"/>
        </w:rPr>
        <w:t>有下列情形之一的，视为投标人相互串通投标：</w:t>
      </w:r>
    </w:p>
    <w:p>
      <w:pPr>
        <w:bidi w:val="0"/>
      </w:pPr>
      <w:r>
        <w:rPr>
          <w:rFonts w:hint="eastAsia"/>
        </w:rPr>
        <w:t>（1）不同投标人的投标文件由同一单位或者个人编制；</w:t>
      </w:r>
    </w:p>
    <w:p>
      <w:pPr>
        <w:bidi w:val="0"/>
      </w:pPr>
      <w:r>
        <w:rPr>
          <w:rFonts w:hint="eastAsia"/>
        </w:rPr>
        <w:t>（2）不同投标人委托同一单位或者个人办理投标事宜；</w:t>
      </w:r>
    </w:p>
    <w:p>
      <w:pPr>
        <w:bidi w:val="0"/>
      </w:pPr>
      <w:r>
        <w:rPr>
          <w:rFonts w:hint="eastAsia"/>
        </w:rPr>
        <w:t>（3）不同投标人的投标文件载明的项目管理成员为同一人；</w:t>
      </w:r>
    </w:p>
    <w:p>
      <w:pPr>
        <w:bidi w:val="0"/>
      </w:pPr>
      <w:r>
        <w:rPr>
          <w:rFonts w:hint="eastAsia"/>
        </w:rPr>
        <w:t>（4）不同投标人的投标文件异常一致或者投标报价呈规律性差异；</w:t>
      </w:r>
    </w:p>
    <w:p>
      <w:pPr>
        <w:bidi w:val="0"/>
      </w:pPr>
      <w:r>
        <w:rPr>
          <w:rFonts w:hint="eastAsia"/>
        </w:rPr>
        <w:t>（5）不同投标人的投标文件相互混装；</w:t>
      </w:r>
    </w:p>
    <w:p>
      <w:pPr>
        <w:bidi w:val="0"/>
      </w:pPr>
      <w:r>
        <w:rPr>
          <w:rFonts w:hint="eastAsia"/>
        </w:rPr>
        <w:t>（6）不同投标人的投标保证金从同一单位或者个人的账户转出。</w:t>
      </w:r>
    </w:p>
    <w:p>
      <w:pPr>
        <w:bidi w:val="0"/>
      </w:pPr>
      <w:r>
        <w:rPr>
          <w:rFonts w:hint="eastAsia"/>
        </w:rPr>
        <w:t>使用通过受让或者租借等方式获取的资格、资质证书投标的，属于以他人名义投标。</w:t>
      </w:r>
    </w:p>
    <w:p>
      <w:pPr>
        <w:bidi w:val="0"/>
      </w:pPr>
      <w:r>
        <w:rPr>
          <w:rFonts w:hint="eastAsia"/>
        </w:rPr>
        <w:t>投标人有下列情形之一的，属于以其他方式弄虚作假的行为：</w:t>
      </w:r>
    </w:p>
    <w:p>
      <w:pPr>
        <w:bidi w:val="0"/>
      </w:pPr>
      <w:r>
        <w:rPr>
          <w:rFonts w:hint="eastAsia"/>
        </w:rPr>
        <w:t>（一）使用伪造、变造的许可证件；</w:t>
      </w:r>
    </w:p>
    <w:p>
      <w:pPr>
        <w:bidi w:val="0"/>
      </w:pPr>
      <w:r>
        <w:rPr>
          <w:rFonts w:hint="eastAsia"/>
        </w:rPr>
        <w:t>（二）提供虚假的财务状况或者业绩；</w:t>
      </w:r>
    </w:p>
    <w:p>
      <w:pPr>
        <w:bidi w:val="0"/>
      </w:pPr>
      <w:r>
        <w:rPr>
          <w:rFonts w:hint="eastAsia"/>
        </w:rPr>
        <w:t>（三）提供虚假的项目负责人或者主要技术人员简历、劳动关系证明；</w:t>
      </w:r>
    </w:p>
    <w:p>
      <w:pPr>
        <w:bidi w:val="0"/>
      </w:pPr>
      <w:r>
        <w:rPr>
          <w:rFonts w:hint="eastAsia"/>
        </w:rPr>
        <w:t>（四）提供虚假的信用状况；</w:t>
      </w:r>
    </w:p>
    <w:p>
      <w:pPr>
        <w:bidi w:val="0"/>
      </w:pPr>
      <w:r>
        <w:rPr>
          <w:rFonts w:hint="eastAsia"/>
        </w:rPr>
        <w:t>（五）其他弄虚作假的行为。</w:t>
      </w:r>
    </w:p>
    <w:p>
      <w:pPr>
        <w:bidi w:val="0"/>
        <w:rPr>
          <w:b/>
          <w:bCs/>
        </w:rPr>
      </w:pPr>
      <w:bookmarkStart w:id="434" w:name="_Toc20068"/>
      <w:bookmarkStart w:id="435" w:name="_Toc18542"/>
      <w:bookmarkStart w:id="436" w:name="_Toc26438"/>
      <w:bookmarkStart w:id="437" w:name="_Toc5869"/>
      <w:bookmarkStart w:id="438" w:name="_Toc15551"/>
      <w:bookmarkStart w:id="439" w:name="_Toc12538"/>
      <w:bookmarkStart w:id="440" w:name="_Toc13897"/>
      <w:bookmarkStart w:id="441" w:name="_Toc23190"/>
      <w:bookmarkStart w:id="442" w:name="_Toc6477"/>
      <w:bookmarkStart w:id="443" w:name="_Toc8201986"/>
      <w:r>
        <w:rPr>
          <w:rFonts w:hint="eastAsia"/>
          <w:b/>
          <w:bCs/>
          <w:lang w:val="en-US" w:eastAsia="zh-CN"/>
        </w:rPr>
        <w:t>8</w:t>
      </w:r>
      <w:r>
        <w:rPr>
          <w:rFonts w:hint="eastAsia"/>
          <w:b/>
          <w:bCs/>
        </w:rPr>
        <w:t>.3  对</w:t>
      </w:r>
      <w:r>
        <w:rPr>
          <w:rFonts w:hint="eastAsia"/>
          <w:b/>
          <w:bCs/>
          <w:lang w:eastAsia="zh-CN"/>
        </w:rPr>
        <w:t>评审小组</w:t>
      </w:r>
      <w:r>
        <w:rPr>
          <w:rFonts w:hint="eastAsia"/>
          <w:b/>
          <w:bCs/>
        </w:rPr>
        <w:t>成员的纪律要求</w:t>
      </w:r>
      <w:bookmarkEnd w:id="434"/>
      <w:bookmarkEnd w:id="435"/>
      <w:bookmarkEnd w:id="436"/>
      <w:bookmarkEnd w:id="437"/>
      <w:bookmarkEnd w:id="438"/>
      <w:bookmarkEnd w:id="439"/>
      <w:bookmarkEnd w:id="440"/>
      <w:bookmarkEnd w:id="441"/>
      <w:bookmarkEnd w:id="442"/>
      <w:bookmarkEnd w:id="443"/>
    </w:p>
    <w:p>
      <w:pPr>
        <w:bidi w:val="0"/>
      </w:pPr>
      <w:r>
        <w:rPr>
          <w:rFonts w:hint="eastAsia"/>
          <w:lang w:eastAsia="zh-CN"/>
        </w:rPr>
        <w:t>评审小组</w:t>
      </w:r>
      <w:r>
        <w:rPr>
          <w:rFonts w:hint="eastAsia"/>
        </w:rPr>
        <w:t>成员不得收受他人的财物或者其他好处，不得向他人透漏对投标文件的评审和比较、中标候选人的推荐情况以及评标有关的其他情况。在评标活动中，</w:t>
      </w:r>
      <w:r>
        <w:rPr>
          <w:rFonts w:hint="eastAsia"/>
          <w:lang w:eastAsia="zh-CN"/>
        </w:rPr>
        <w:t>评审小组</w:t>
      </w:r>
      <w:r>
        <w:rPr>
          <w:rFonts w:hint="eastAsia"/>
        </w:rPr>
        <w:t>成员不得擅离职守，影响评标程序正常进行，不得使用第三章“评标办法”没有规定的评审因素和标准进行评标。</w:t>
      </w:r>
    </w:p>
    <w:p>
      <w:pPr>
        <w:bidi w:val="0"/>
      </w:pPr>
      <w:bookmarkStart w:id="444" w:name="_Toc19203"/>
      <w:bookmarkStart w:id="445" w:name="_Toc9885"/>
      <w:bookmarkStart w:id="446" w:name="_Toc11648"/>
      <w:bookmarkStart w:id="447" w:name="_Toc7886"/>
      <w:bookmarkStart w:id="448" w:name="_Toc252"/>
      <w:bookmarkStart w:id="449" w:name="_Toc1834"/>
      <w:bookmarkStart w:id="450" w:name="_Toc17306"/>
      <w:bookmarkStart w:id="451" w:name="_Toc8201987"/>
      <w:bookmarkStart w:id="452" w:name="_Toc25972"/>
      <w:bookmarkStart w:id="453" w:name="_Toc13559"/>
      <w:r>
        <w:rPr>
          <w:rFonts w:hint="eastAsia"/>
          <w:b/>
          <w:bCs/>
          <w:lang w:val="en-US" w:eastAsia="zh-CN"/>
        </w:rPr>
        <w:t>8</w:t>
      </w:r>
      <w:r>
        <w:rPr>
          <w:rFonts w:hint="eastAsia"/>
          <w:b/>
          <w:bCs/>
        </w:rPr>
        <w:t>.4  对与评标活动有关的工作人员的纪律要求</w:t>
      </w:r>
      <w:bookmarkEnd w:id="444"/>
      <w:bookmarkEnd w:id="445"/>
      <w:bookmarkEnd w:id="446"/>
      <w:bookmarkEnd w:id="447"/>
      <w:bookmarkEnd w:id="448"/>
      <w:bookmarkEnd w:id="449"/>
      <w:bookmarkEnd w:id="450"/>
      <w:bookmarkEnd w:id="451"/>
      <w:bookmarkEnd w:id="452"/>
      <w:bookmarkEnd w:id="453"/>
    </w:p>
    <w:p>
      <w:pPr>
        <w:bidi w:val="0"/>
        <w:rPr>
          <w:rFonts w:ascii="宋体" w:cs="宋体"/>
          <w:snapToGrid w:val="0"/>
          <w:color w:val="auto"/>
          <w:kern w:val="0"/>
          <w:highlight w:val="auto"/>
        </w:rPr>
      </w:pPr>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bidi w:val="0"/>
        <w:rPr>
          <w:b/>
          <w:bCs/>
        </w:rPr>
      </w:pPr>
      <w:bookmarkStart w:id="454" w:name="_Toc8201988"/>
      <w:bookmarkStart w:id="455" w:name="_Toc23276"/>
      <w:bookmarkStart w:id="456" w:name="_Toc8366"/>
      <w:bookmarkStart w:id="457" w:name="_Toc17418"/>
      <w:bookmarkStart w:id="458" w:name="_Toc6894"/>
      <w:bookmarkStart w:id="459" w:name="_Toc17615"/>
      <w:bookmarkStart w:id="460" w:name="_Toc14263"/>
      <w:bookmarkStart w:id="461" w:name="_Toc1985"/>
      <w:bookmarkStart w:id="462" w:name="_Toc1189"/>
      <w:bookmarkStart w:id="463" w:name="_Toc21833"/>
      <w:r>
        <w:rPr>
          <w:rFonts w:hint="eastAsia"/>
          <w:b/>
          <w:bCs/>
          <w:lang w:val="en-US" w:eastAsia="zh-CN"/>
        </w:rPr>
        <w:t>8</w:t>
      </w:r>
      <w:r>
        <w:rPr>
          <w:rFonts w:hint="eastAsia"/>
          <w:b/>
          <w:bCs/>
        </w:rPr>
        <w:t>.5  投诉</w:t>
      </w:r>
      <w:bookmarkEnd w:id="454"/>
      <w:bookmarkEnd w:id="455"/>
      <w:bookmarkEnd w:id="456"/>
      <w:bookmarkEnd w:id="457"/>
      <w:bookmarkEnd w:id="458"/>
      <w:bookmarkEnd w:id="459"/>
      <w:bookmarkEnd w:id="460"/>
      <w:bookmarkEnd w:id="461"/>
      <w:bookmarkEnd w:id="462"/>
      <w:bookmarkEnd w:id="463"/>
    </w:p>
    <w:p>
      <w:pPr>
        <w:bidi w:val="0"/>
        <w:rPr>
          <w:rFonts w:hint="eastAsia"/>
        </w:rPr>
      </w:pPr>
      <w:r>
        <w:rPr>
          <w:rFonts w:hint="eastAsia"/>
        </w:rPr>
        <w:t>投标人和其他利害关系人认为本次招标活动违反法律、法规和规章规定的，有权向</w:t>
      </w:r>
      <w:r>
        <w:rPr>
          <w:rFonts w:hint="eastAsia"/>
          <w:lang w:eastAsia="zh-CN"/>
        </w:rPr>
        <w:t>中华人民共和国黔江海关</w:t>
      </w:r>
      <w:r>
        <w:rPr>
          <w:rFonts w:hint="eastAsia"/>
        </w:rPr>
        <w:t>监督部门投诉。</w:t>
      </w:r>
    </w:p>
    <w:p>
      <w:pPr>
        <w:bidi w:val="0"/>
      </w:pPr>
      <w:bookmarkStart w:id="464" w:name="_Toc28718"/>
      <w:bookmarkStart w:id="465" w:name="_Toc21733"/>
      <w:bookmarkStart w:id="466" w:name="_Toc6666"/>
      <w:bookmarkStart w:id="467" w:name="_Toc8102"/>
      <w:bookmarkStart w:id="468" w:name="_Toc17883"/>
      <w:bookmarkStart w:id="469" w:name="_Toc18543"/>
      <w:bookmarkStart w:id="470" w:name="_Toc5634"/>
      <w:bookmarkStart w:id="471" w:name="_Toc31809"/>
      <w:bookmarkStart w:id="472" w:name="_Toc8201989"/>
      <w:bookmarkStart w:id="473" w:name="_Toc28399"/>
      <w:r>
        <w:rPr>
          <w:rFonts w:hint="eastAsia"/>
          <w:b/>
          <w:bCs/>
          <w:lang w:val="en-US" w:eastAsia="zh-CN"/>
        </w:rPr>
        <w:t>9</w:t>
      </w:r>
      <w:r>
        <w:rPr>
          <w:rFonts w:hint="eastAsia"/>
          <w:b/>
          <w:bCs/>
        </w:rPr>
        <w:t>.  需要补充的其他内容</w:t>
      </w:r>
      <w:bookmarkEnd w:id="464"/>
      <w:bookmarkEnd w:id="465"/>
      <w:bookmarkEnd w:id="466"/>
      <w:bookmarkEnd w:id="467"/>
      <w:bookmarkEnd w:id="468"/>
      <w:bookmarkEnd w:id="469"/>
      <w:bookmarkEnd w:id="470"/>
      <w:bookmarkEnd w:id="471"/>
      <w:bookmarkEnd w:id="472"/>
      <w:bookmarkEnd w:id="473"/>
    </w:p>
    <w:p>
      <w:pPr>
        <w:bidi w:val="0"/>
        <w:rPr>
          <w:rFonts w:ascii="Times New Roman" w:hAnsi="Times New Roman"/>
        </w:rPr>
      </w:pPr>
      <w:r>
        <w:rPr>
          <w:rFonts w:hint="eastAsia"/>
        </w:rPr>
        <w:t>需要补充的其他内容：见投标人须知前附表。</w:t>
      </w:r>
      <w:r>
        <w:rPr>
          <w:rFonts w:ascii="Times New Roman" w:hAnsi="Times New Roman"/>
        </w:rPr>
        <w:br w:type="page"/>
      </w:r>
    </w:p>
    <w:p>
      <w:pPr>
        <w:pStyle w:val="1"/>
        <w:keepNext/>
        <w:keepLines/>
        <w:pageBreakBefore w:val="0"/>
        <w:widowControl w:val="0"/>
        <w:kinsoku/>
        <w:wordWrap w:val="0"/>
        <w:overflowPunct/>
        <w:topLinePunct w:val="0"/>
        <w:bidi w:val="0"/>
        <w:textAlignment w:val="auto"/>
      </w:pPr>
      <w:bookmarkStart w:id="474" w:name="_Toc506106429"/>
      <w:bookmarkStart w:id="475" w:name="_Toc19736"/>
      <w:bookmarkStart w:id="476" w:name="_Toc499747784"/>
      <w:bookmarkStart w:id="477" w:name="_Toc506278873"/>
      <w:bookmarkStart w:id="478" w:name="_Toc499747751"/>
      <w:bookmarkStart w:id="479" w:name="_Toc499748257"/>
      <w:r>
        <w:t>第三章 比选方法</w:t>
      </w:r>
      <w:bookmarkEnd w:id="474"/>
      <w:bookmarkEnd w:id="475"/>
      <w:bookmarkEnd w:id="476"/>
      <w:bookmarkEnd w:id="477"/>
      <w:bookmarkEnd w:id="478"/>
      <w:bookmarkEnd w:id="479"/>
    </w:p>
    <w:p>
      <w:pPr>
        <w:pageBreakBefore w:val="0"/>
        <w:widowControl w:val="0"/>
        <w:kinsoku/>
        <w:wordWrap w:val="0"/>
        <w:overflowPunct/>
        <w:topLinePunct w:val="0"/>
        <w:bidi w:val="0"/>
        <w:ind w:left="0" w:firstLineChars="0" w:firstLine="0"/>
        <w:jc w:val="center"/>
        <w:textAlignment w:val="auto"/>
        <w:rPr>
          <w:rFonts w:ascii="Times New Roman" w:hAnsi="Times New Roman" w:hint="eastAsia"/>
          <w:b/>
          <w:bCs/>
        </w:rPr>
      </w:pPr>
      <w:bookmarkStart w:id="480" w:name="_Toc19758"/>
      <w:bookmarkStart w:id="481" w:name="_Toc11311"/>
      <w:bookmarkStart w:id="482" w:name="_Toc16335"/>
      <w:bookmarkStart w:id="483" w:name="_Toc31633"/>
      <w:bookmarkStart w:id="484" w:name="_Toc11496"/>
      <w:bookmarkStart w:id="485" w:name="_Toc473987400"/>
      <w:bookmarkStart w:id="486" w:name="_Toc3500"/>
      <w:r>
        <w:rPr>
          <w:rFonts w:ascii="Times New Roman" w:hAnsi="Times New Roman" w:hint="eastAsia"/>
          <w:b/>
          <w:bCs/>
        </w:rPr>
        <w:t>评标办法前附表</w:t>
      </w:r>
      <w:bookmarkEnd w:id="480"/>
      <w:bookmarkEnd w:id="481"/>
      <w:bookmarkEnd w:id="482"/>
      <w:bookmarkEnd w:id="483"/>
      <w:bookmarkEnd w:id="484"/>
      <w:bookmarkEnd w:id="485"/>
      <w:bookmarkEnd w:id="486"/>
    </w:p>
    <w:tbl>
      <w:tblPr>
        <w:jc w:val="left"/>
        <w:tblInd w:w="-5" w:type="dxa"/>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9"/>
        <w:gridCol w:w="709"/>
        <w:gridCol w:w="895"/>
        <w:gridCol w:w="1089"/>
        <w:gridCol w:w="147"/>
        <w:gridCol w:w="5949"/>
      </w:tblGrid>
      <w:tr>
        <w:trPr>
          <w:trHeight w:hRule="exact" w:val="429"/>
        </w:trPr>
        <w:tc>
          <w:tcPr>
            <w:tcW w:w="1418" w:type="dxa"/>
            <w:gridSpan w:val="2"/>
            <w:noWrap/>
            <w:vAlign w:val="center"/>
          </w:tcPr>
          <w:p>
            <w:pPr>
              <w:pStyle w:val="30"/>
              <w:bidi w:val="0"/>
              <w:jc w:val="center"/>
              <w:rPr>
                <w:b/>
                <w:bCs/>
              </w:rPr>
            </w:pPr>
            <w:r>
              <w:rPr>
                <w:rFonts w:hint="eastAsia"/>
                <w:b/>
                <w:bCs/>
              </w:rPr>
              <w:t>条款号</w:t>
            </w:r>
          </w:p>
        </w:tc>
        <w:tc>
          <w:tcPr>
            <w:tcW w:w="1984" w:type="dxa"/>
            <w:gridSpan w:val="2"/>
            <w:noWrap/>
            <w:vAlign w:val="center"/>
          </w:tcPr>
          <w:p>
            <w:pPr>
              <w:pStyle w:val="30"/>
              <w:bidi w:val="0"/>
              <w:jc w:val="center"/>
              <w:rPr>
                <w:b/>
                <w:bCs/>
              </w:rPr>
            </w:pPr>
            <w:r>
              <w:rPr>
                <w:rFonts w:hint="eastAsia"/>
                <w:b/>
                <w:bCs/>
              </w:rPr>
              <w:t>评审因素</w:t>
            </w:r>
          </w:p>
        </w:tc>
        <w:tc>
          <w:tcPr>
            <w:tcW w:w="6096" w:type="dxa"/>
            <w:gridSpan w:val="2"/>
            <w:noWrap/>
            <w:vAlign w:val="center"/>
          </w:tcPr>
          <w:p>
            <w:pPr>
              <w:pStyle w:val="30"/>
              <w:bidi w:val="0"/>
              <w:jc w:val="center"/>
              <w:rPr>
                <w:b/>
                <w:bCs/>
              </w:rPr>
            </w:pPr>
            <w:r>
              <w:rPr>
                <w:rFonts w:hint="eastAsia"/>
                <w:b/>
                <w:bCs/>
              </w:rPr>
              <w:t>评审标准</w:t>
            </w:r>
          </w:p>
        </w:tc>
      </w:tr>
      <w:tr>
        <w:trPr>
          <w:trHeight w:hRule="exact" w:val="429"/>
        </w:trPr>
        <w:tc>
          <w:tcPr>
            <w:tcW w:w="1418" w:type="dxa"/>
            <w:gridSpan w:val="2"/>
            <w:noWrap/>
            <w:vAlign w:val="center"/>
          </w:tcPr>
          <w:p>
            <w:pPr>
              <w:pStyle w:val="30"/>
              <w:bidi w:val="0"/>
              <w:jc w:val="center"/>
              <w:rPr>
                <w:rFonts w:hint="eastAsia"/>
              </w:rPr>
            </w:pPr>
            <w:r>
              <w:rPr>
                <w:rFonts w:hint="eastAsia"/>
              </w:rPr>
              <w:t>2.1</w:t>
            </w:r>
          </w:p>
        </w:tc>
        <w:tc>
          <w:tcPr>
            <w:tcW w:w="8080" w:type="dxa"/>
            <w:gridSpan w:val="4"/>
            <w:noWrap/>
            <w:vAlign w:val="center"/>
          </w:tcPr>
          <w:p>
            <w:pPr>
              <w:pStyle w:val="30"/>
              <w:bidi w:val="0"/>
              <w:jc w:val="center"/>
              <w:rPr>
                <w:rFonts w:hint="eastAsia"/>
              </w:rPr>
            </w:pPr>
            <w:r>
              <w:rPr>
                <w:rFonts w:hint="eastAsia"/>
                <w:b/>
                <w:bCs/>
              </w:rPr>
              <w:t>初步评审</w:t>
            </w:r>
          </w:p>
        </w:tc>
      </w:tr>
      <w:tr>
        <w:trPr>
          <w:trHeight w:val="424"/>
        </w:trPr>
        <w:tc>
          <w:tcPr>
            <w:tcW w:w="709" w:type="dxa"/>
            <w:vMerge w:val="restart"/>
            <w:noWrap/>
            <w:vAlign w:val="center"/>
          </w:tcPr>
          <w:p>
            <w:pPr>
              <w:pStyle w:val="30"/>
              <w:bidi w:val="0"/>
              <w:jc w:val="center"/>
            </w:pPr>
            <w:r>
              <w:rPr>
                <w:rFonts w:hint="eastAsia"/>
              </w:rPr>
              <w:t>2.1.1</w:t>
            </w:r>
          </w:p>
        </w:tc>
        <w:tc>
          <w:tcPr>
            <w:tcW w:w="709" w:type="dxa"/>
            <w:vMerge w:val="restart"/>
            <w:noWrap/>
            <w:vAlign w:val="center"/>
          </w:tcPr>
          <w:p>
            <w:pPr>
              <w:pStyle w:val="30"/>
              <w:bidi w:val="0"/>
              <w:jc w:val="center"/>
            </w:pPr>
            <w:r>
              <w:rPr>
                <w:rFonts w:hint="eastAsia"/>
              </w:rPr>
              <w:t>形式评审标准</w:t>
            </w:r>
          </w:p>
        </w:tc>
        <w:tc>
          <w:tcPr>
            <w:tcW w:w="1984" w:type="dxa"/>
            <w:gridSpan w:val="2"/>
            <w:noWrap/>
            <w:vAlign w:val="center"/>
          </w:tcPr>
          <w:p>
            <w:pPr>
              <w:pStyle w:val="30"/>
              <w:bidi w:val="0"/>
              <w:jc w:val="center"/>
            </w:pPr>
            <w:r>
              <w:rPr>
                <w:rFonts w:hint="eastAsia"/>
              </w:rPr>
              <w:t>投标人名称</w:t>
            </w:r>
          </w:p>
        </w:tc>
        <w:tc>
          <w:tcPr>
            <w:tcW w:w="6096" w:type="dxa"/>
            <w:gridSpan w:val="2"/>
            <w:noWrap/>
            <w:vAlign w:val="center"/>
          </w:tcPr>
          <w:p>
            <w:pPr>
              <w:pStyle w:val="30"/>
              <w:bidi w:val="0"/>
            </w:pPr>
            <w:r>
              <w:rPr>
                <w:rFonts w:hint="eastAsia"/>
              </w:rPr>
              <w:t>与营业执照一致</w:t>
            </w:r>
          </w:p>
        </w:tc>
      </w:tr>
      <w:tr>
        <w:trPr>
          <w:trHeight w:val="416"/>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投标文件签字盖章</w:t>
            </w:r>
          </w:p>
        </w:tc>
        <w:tc>
          <w:tcPr>
            <w:tcW w:w="6096" w:type="dxa"/>
            <w:gridSpan w:val="2"/>
            <w:noWrap/>
            <w:vAlign w:val="center"/>
          </w:tcPr>
          <w:p>
            <w:pPr>
              <w:pStyle w:val="30"/>
              <w:bidi w:val="0"/>
            </w:pPr>
            <w:r>
              <w:rPr>
                <w:rFonts w:hint="eastAsia"/>
              </w:rPr>
              <w:t>投标函部分、技术商务部分（资格审查资料）投标资料正本均按招标文件要求加盖投标人单位的公章，副本可为正本的复印件，法定代表人或其委托代理人签字（签章）处按招标文件格式相应位置按其要求签字或签章，投标文件应用不褪色的材料书写或打印。委托代理人签字或签章的，投标文件应附法定代表人签署的授权委托书。投标文件应尽量避免涂改、行间插字或删除。如果出现上述情况，改动之处应加盖单位公章或由投标人的法定代表人或其授权的代理人签字（签章）确认。</w:t>
            </w:r>
          </w:p>
        </w:tc>
      </w:tr>
      <w:tr>
        <w:trPr>
          <w:trHeight w:val="90"/>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投标文件格式</w:t>
            </w:r>
          </w:p>
        </w:tc>
        <w:tc>
          <w:tcPr>
            <w:tcW w:w="6096" w:type="dxa"/>
            <w:gridSpan w:val="2"/>
            <w:noWrap/>
            <w:vAlign w:val="center"/>
          </w:tcPr>
          <w:p>
            <w:pPr>
              <w:pStyle w:val="30"/>
              <w:bidi w:val="0"/>
            </w:pPr>
            <w:r>
              <w:rPr>
                <w:rFonts w:hint="eastAsia"/>
              </w:rPr>
              <w:t>1. 投标函的所有内容齐全完整，内容符合招标文件规定；</w:t>
            </w:r>
          </w:p>
          <w:p>
            <w:pPr>
              <w:pStyle w:val="30"/>
              <w:bidi w:val="0"/>
            </w:pPr>
            <w:r>
              <w:rPr>
                <w:rFonts w:hint="eastAsia"/>
              </w:rPr>
              <w:t>2. 投标文件附表齐全完整，内容齐全完整且均按规定填写；</w:t>
            </w:r>
          </w:p>
          <w:p>
            <w:pPr>
              <w:pStyle w:val="30"/>
              <w:bidi w:val="0"/>
            </w:pPr>
            <w:r>
              <w:rPr>
                <w:rFonts w:hint="eastAsia"/>
              </w:rPr>
              <w:t>3. 按招标文件规定提供了招标文件规定的所有证书（件）的复印件或扫描件加盖公章，证件清晰可辩、有效；</w:t>
            </w:r>
          </w:p>
          <w:p>
            <w:pPr>
              <w:pStyle w:val="30"/>
              <w:bidi w:val="0"/>
            </w:pPr>
            <w:r>
              <w:rPr>
                <w:rFonts w:hint="eastAsia"/>
              </w:rPr>
              <w:t>4. 投标文件的签字盖章、份数装订符合第二章3.7项的规定；</w:t>
            </w:r>
          </w:p>
          <w:p>
            <w:pPr>
              <w:pStyle w:val="30"/>
              <w:bidi w:val="0"/>
            </w:pPr>
            <w:r>
              <w:rPr>
                <w:rFonts w:hint="eastAsia"/>
              </w:rPr>
              <w:t>5. 投标文件的密封和标记符合第二章4.1.1项的规定。</w:t>
            </w:r>
          </w:p>
        </w:tc>
      </w:tr>
      <w:tr>
        <w:trPr>
          <w:trHeight w:val="422"/>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报价唯一</w:t>
            </w:r>
          </w:p>
        </w:tc>
        <w:tc>
          <w:tcPr>
            <w:tcW w:w="6096" w:type="dxa"/>
            <w:gridSpan w:val="2"/>
            <w:noWrap/>
            <w:vAlign w:val="center"/>
          </w:tcPr>
          <w:p>
            <w:pPr>
              <w:pStyle w:val="30"/>
              <w:bidi w:val="0"/>
            </w:pPr>
            <w:r>
              <w:rPr>
                <w:rFonts w:hint="eastAsia"/>
              </w:rPr>
              <w:t>只能有一个有效报价。</w:t>
            </w:r>
          </w:p>
        </w:tc>
      </w:tr>
      <w:tr>
        <w:trPr>
          <w:trHeight w:val="470"/>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投标文件的签署</w:t>
            </w:r>
          </w:p>
        </w:tc>
        <w:tc>
          <w:tcPr>
            <w:tcW w:w="6096" w:type="dxa"/>
            <w:gridSpan w:val="2"/>
            <w:noWrap/>
            <w:vAlign w:val="center"/>
          </w:tcPr>
          <w:p>
            <w:pPr>
              <w:pStyle w:val="30"/>
              <w:bidi w:val="0"/>
            </w:pPr>
            <w:r>
              <w:rPr>
                <w:rFonts w:hint="eastAsia"/>
              </w:rPr>
              <w:t>投标文件上法定代表人或其授权代理人的签字或盖章齐全。</w:t>
            </w:r>
          </w:p>
        </w:tc>
      </w:tr>
      <w:tr>
        <w:trPr>
          <w:trHeight w:val="635"/>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委托代理人</w:t>
            </w:r>
          </w:p>
        </w:tc>
        <w:tc>
          <w:tcPr>
            <w:tcW w:w="6096" w:type="dxa"/>
            <w:gridSpan w:val="2"/>
            <w:noWrap/>
            <w:vAlign w:val="center"/>
          </w:tcPr>
          <w:p>
            <w:pPr>
              <w:pStyle w:val="30"/>
              <w:bidi w:val="0"/>
            </w:pPr>
            <w:r>
              <w:rPr>
                <w:rFonts w:hint="eastAsia"/>
              </w:rPr>
              <w:t>投标人法定代表人的委托代理人有法定代表人签署的授权委托书，且其授权委托书符合招标文件规定的格式。</w:t>
            </w:r>
          </w:p>
        </w:tc>
      </w:tr>
      <w:tr>
        <w:trPr>
          <w:trHeight w:val="373"/>
        </w:trPr>
        <w:tc>
          <w:tcPr>
            <w:tcW w:w="709" w:type="dxa"/>
            <w:vMerge w:val="restart"/>
            <w:noWrap/>
            <w:vAlign w:val="center"/>
          </w:tcPr>
          <w:p>
            <w:pPr>
              <w:pStyle w:val="30"/>
              <w:bidi w:val="0"/>
              <w:jc w:val="center"/>
            </w:pPr>
            <w:r>
              <w:rPr>
                <w:rFonts w:hint="eastAsia"/>
              </w:rPr>
              <w:t>2.1.2</w:t>
            </w:r>
          </w:p>
        </w:tc>
        <w:tc>
          <w:tcPr>
            <w:tcW w:w="709" w:type="dxa"/>
            <w:vMerge w:val="restart"/>
            <w:noWrap/>
            <w:vAlign w:val="center"/>
          </w:tcPr>
          <w:p>
            <w:pPr>
              <w:pStyle w:val="30"/>
              <w:bidi w:val="0"/>
              <w:jc w:val="center"/>
            </w:pPr>
            <w:r>
              <w:rPr>
                <w:rFonts w:hint="eastAsia"/>
              </w:rPr>
              <w:t>资格评审标准</w:t>
            </w:r>
          </w:p>
        </w:tc>
        <w:tc>
          <w:tcPr>
            <w:tcW w:w="1984" w:type="dxa"/>
            <w:gridSpan w:val="2"/>
            <w:noWrap/>
            <w:vAlign w:val="center"/>
          </w:tcPr>
          <w:p>
            <w:pPr>
              <w:pStyle w:val="30"/>
              <w:bidi w:val="0"/>
              <w:jc w:val="center"/>
            </w:pPr>
            <w:r>
              <w:rPr>
                <w:rFonts w:hint="eastAsia"/>
              </w:rPr>
              <w:t>营业执照</w:t>
            </w:r>
          </w:p>
        </w:tc>
        <w:tc>
          <w:tcPr>
            <w:tcW w:w="6096" w:type="dxa"/>
            <w:gridSpan w:val="2"/>
            <w:noWrap/>
            <w:vAlign w:val="center"/>
          </w:tcPr>
          <w:p>
            <w:pPr>
              <w:pStyle w:val="30"/>
              <w:bidi w:val="0"/>
            </w:pPr>
            <w:r>
              <w:rPr>
                <w:rFonts w:hint="eastAsia"/>
              </w:rPr>
              <w:t>符合第二章“投标人须知”第1.4.1项规定</w:t>
            </w:r>
          </w:p>
        </w:tc>
      </w:tr>
      <w:tr>
        <w:trPr>
          <w:trHeight w:val="373"/>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rPr>
                <w:rFonts w:hint="eastAsia"/>
              </w:rPr>
            </w:pPr>
            <w:r>
              <w:rPr>
                <w:rFonts w:hint="eastAsia"/>
              </w:rPr>
              <w:t>其他资格条件</w:t>
            </w:r>
          </w:p>
        </w:tc>
        <w:tc>
          <w:tcPr>
            <w:tcW w:w="6096" w:type="dxa"/>
            <w:gridSpan w:val="2"/>
            <w:noWrap/>
            <w:vAlign w:val="center"/>
          </w:tcPr>
          <w:p>
            <w:pPr>
              <w:pStyle w:val="30"/>
              <w:bidi w:val="0"/>
              <w:rPr>
                <w:rFonts w:hint="eastAsia"/>
              </w:rPr>
            </w:pPr>
            <w:r>
              <w:rPr>
                <w:rFonts w:hint="eastAsia"/>
              </w:rPr>
              <w:t>符合第二章“投标人须知”第1.4.1项规定</w:t>
            </w:r>
          </w:p>
        </w:tc>
      </w:tr>
      <w:tr>
        <w:trPr>
          <w:trHeight w:val="373"/>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rPr>
                <w:rFonts w:hint="eastAsia"/>
              </w:rPr>
            </w:pPr>
            <w:r>
              <w:rPr>
                <w:rFonts w:hint="eastAsia"/>
              </w:rPr>
              <w:t>联合体投标</w:t>
            </w:r>
          </w:p>
        </w:tc>
        <w:tc>
          <w:tcPr>
            <w:tcW w:w="6096" w:type="dxa"/>
            <w:gridSpan w:val="2"/>
            <w:noWrap/>
            <w:vAlign w:val="center"/>
          </w:tcPr>
          <w:p>
            <w:pPr>
              <w:pStyle w:val="30"/>
              <w:bidi w:val="0"/>
              <w:rPr>
                <w:rFonts w:hint="eastAsia"/>
              </w:rPr>
            </w:pPr>
            <w:r>
              <w:rPr>
                <w:rFonts w:hint="eastAsia"/>
              </w:rPr>
              <w:t>符合第二章“投标人须知”第1.4.2项规定</w:t>
            </w:r>
          </w:p>
        </w:tc>
      </w:tr>
      <w:tr>
        <w:trPr>
          <w:trHeight w:val="399"/>
        </w:trPr>
        <w:tc>
          <w:tcPr>
            <w:tcW w:w="709" w:type="dxa"/>
            <w:vMerge w:val="restart"/>
            <w:noWrap/>
            <w:vAlign w:val="center"/>
          </w:tcPr>
          <w:p>
            <w:pPr>
              <w:pStyle w:val="30"/>
              <w:bidi w:val="0"/>
              <w:jc w:val="center"/>
            </w:pPr>
            <w:r>
              <w:rPr>
                <w:rFonts w:hint="eastAsia"/>
              </w:rPr>
              <w:t>2.1.3</w:t>
            </w:r>
          </w:p>
        </w:tc>
        <w:tc>
          <w:tcPr>
            <w:tcW w:w="709" w:type="dxa"/>
            <w:vMerge w:val="restart"/>
            <w:noWrap/>
            <w:vAlign w:val="center"/>
          </w:tcPr>
          <w:p>
            <w:pPr>
              <w:pStyle w:val="30"/>
              <w:bidi w:val="0"/>
              <w:jc w:val="center"/>
            </w:pPr>
            <w:r>
              <w:rPr>
                <w:rFonts w:hint="eastAsia"/>
              </w:rPr>
              <w:t>响应性评审标准</w:t>
            </w:r>
          </w:p>
        </w:tc>
        <w:tc>
          <w:tcPr>
            <w:tcW w:w="1984" w:type="dxa"/>
            <w:gridSpan w:val="2"/>
            <w:noWrap/>
            <w:vAlign w:val="center"/>
          </w:tcPr>
          <w:p>
            <w:pPr>
              <w:pStyle w:val="30"/>
              <w:bidi w:val="0"/>
              <w:jc w:val="center"/>
              <w:rPr>
                <w:rFonts w:hint="eastAsia"/>
              </w:rPr>
            </w:pPr>
            <w:r>
              <w:rPr>
                <w:rFonts w:hint="eastAsia"/>
              </w:rPr>
              <w:t>投标内容</w:t>
            </w:r>
          </w:p>
        </w:tc>
        <w:tc>
          <w:tcPr>
            <w:tcW w:w="6096" w:type="dxa"/>
            <w:gridSpan w:val="2"/>
            <w:noWrap/>
            <w:vAlign w:val="center"/>
          </w:tcPr>
          <w:p>
            <w:pPr>
              <w:pStyle w:val="30"/>
              <w:bidi w:val="0"/>
            </w:pPr>
            <w:r>
              <w:rPr>
                <w:rFonts w:hint="eastAsia"/>
              </w:rPr>
              <w:t>符合第二章“投标人须知”第1.3.1项规定</w:t>
            </w:r>
          </w:p>
        </w:tc>
      </w:tr>
      <w:tr>
        <w:trPr>
          <w:trHeight w:val="399"/>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rPr>
                <w:rFonts w:hint="eastAsia"/>
              </w:rPr>
            </w:pPr>
            <w:r>
              <w:rPr>
                <w:rFonts w:hint="eastAsia"/>
              </w:rPr>
              <w:t>服务期限</w:t>
            </w:r>
          </w:p>
        </w:tc>
        <w:tc>
          <w:tcPr>
            <w:tcW w:w="6096" w:type="dxa"/>
            <w:gridSpan w:val="2"/>
            <w:noWrap/>
            <w:vAlign w:val="center"/>
          </w:tcPr>
          <w:p>
            <w:pPr>
              <w:pStyle w:val="30"/>
              <w:bidi w:val="0"/>
            </w:pPr>
            <w:r>
              <w:rPr>
                <w:rFonts w:hint="eastAsia"/>
              </w:rPr>
              <w:t>符合第二章“投标人须知”第1.3.2项规定</w:t>
            </w:r>
          </w:p>
        </w:tc>
      </w:tr>
      <w:tr>
        <w:trPr>
          <w:trHeight w:val="399"/>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rPr>
                <w:rFonts w:hint="eastAsia"/>
              </w:rPr>
            </w:pPr>
            <w:r>
              <w:rPr>
                <w:rFonts w:hint="eastAsia"/>
              </w:rPr>
              <w:t>服务指标</w:t>
            </w:r>
          </w:p>
        </w:tc>
        <w:tc>
          <w:tcPr>
            <w:tcW w:w="6096" w:type="dxa"/>
            <w:gridSpan w:val="2"/>
            <w:noWrap/>
            <w:vAlign w:val="center"/>
          </w:tcPr>
          <w:p>
            <w:pPr>
              <w:pStyle w:val="30"/>
              <w:bidi w:val="0"/>
            </w:pPr>
            <w:r>
              <w:rPr>
                <w:rFonts w:hint="eastAsia"/>
              </w:rPr>
              <w:t>符合第二章“投标人须知”第1.3.3项规定</w:t>
            </w:r>
          </w:p>
        </w:tc>
      </w:tr>
      <w:tr>
        <w:trPr>
          <w:trHeight w:val="399"/>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服务地点</w:t>
            </w:r>
          </w:p>
        </w:tc>
        <w:tc>
          <w:tcPr>
            <w:tcW w:w="6096" w:type="dxa"/>
            <w:gridSpan w:val="2"/>
            <w:noWrap/>
            <w:vAlign w:val="center"/>
          </w:tcPr>
          <w:p>
            <w:pPr>
              <w:pStyle w:val="30"/>
              <w:bidi w:val="0"/>
              <w:rPr>
                <w:rFonts w:hint="eastAsia"/>
              </w:rPr>
            </w:pPr>
            <w:r>
              <w:rPr>
                <w:rFonts w:hint="eastAsia"/>
              </w:rPr>
              <w:t>符合第二章“投标人须知”第1.3.4项规定</w:t>
            </w:r>
          </w:p>
        </w:tc>
      </w:tr>
      <w:tr>
        <w:trPr>
          <w:trHeight w:val="399"/>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投标有效期</w:t>
            </w:r>
          </w:p>
        </w:tc>
        <w:tc>
          <w:tcPr>
            <w:tcW w:w="6096" w:type="dxa"/>
            <w:gridSpan w:val="2"/>
            <w:noWrap/>
            <w:vAlign w:val="center"/>
          </w:tcPr>
          <w:p>
            <w:pPr>
              <w:pStyle w:val="30"/>
              <w:bidi w:val="0"/>
            </w:pPr>
            <w:r>
              <w:rPr>
                <w:rFonts w:hint="eastAsia"/>
              </w:rPr>
              <w:t>符合第二章“投标人须知”第3.3.1项规定</w:t>
            </w:r>
          </w:p>
        </w:tc>
      </w:tr>
      <w:tr>
        <w:trPr>
          <w:trHeight w:val="90"/>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投标保证金</w:t>
            </w:r>
          </w:p>
        </w:tc>
        <w:tc>
          <w:tcPr>
            <w:tcW w:w="6096" w:type="dxa"/>
            <w:gridSpan w:val="2"/>
            <w:noWrap/>
            <w:vAlign w:val="center"/>
          </w:tcPr>
          <w:p>
            <w:pPr>
              <w:pStyle w:val="30"/>
              <w:bidi w:val="0"/>
              <w:rPr>
                <w:rFonts w:eastAsia="宋体"/>
                <w:lang w:val="en-US" w:eastAsia="zh-CN"/>
              </w:rPr>
            </w:pPr>
            <w:r>
              <w:rPr>
                <w:rFonts w:hint="eastAsia"/>
                <w:lang w:val="en-US" w:eastAsia="zh-CN"/>
              </w:rPr>
              <w:t>无</w:t>
            </w:r>
          </w:p>
        </w:tc>
      </w:tr>
      <w:tr>
        <w:trPr>
          <w:trHeight w:val="399"/>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投标报价</w:t>
            </w:r>
          </w:p>
        </w:tc>
        <w:tc>
          <w:tcPr>
            <w:tcW w:w="6096" w:type="dxa"/>
            <w:gridSpan w:val="2"/>
            <w:noWrap/>
            <w:vAlign w:val="center"/>
          </w:tcPr>
          <w:p>
            <w:pPr>
              <w:pStyle w:val="30"/>
              <w:bidi w:val="0"/>
              <w:rPr>
                <w:rFonts w:hint="eastAsia"/>
              </w:rPr>
            </w:pPr>
            <w:r>
              <w:rPr>
                <w:rFonts w:hint="eastAsia"/>
              </w:rPr>
              <w:t>投标报价不得高于招标人公布的最高限价</w:t>
            </w:r>
          </w:p>
        </w:tc>
      </w:tr>
      <w:tr>
        <w:trPr>
          <w:trHeight w:val="420"/>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权利义务</w:t>
            </w:r>
          </w:p>
        </w:tc>
        <w:tc>
          <w:tcPr>
            <w:tcW w:w="6096" w:type="dxa"/>
            <w:gridSpan w:val="2"/>
            <w:noWrap/>
            <w:vAlign w:val="center"/>
          </w:tcPr>
          <w:p>
            <w:pPr>
              <w:pStyle w:val="30"/>
              <w:bidi w:val="0"/>
            </w:pPr>
            <w:r>
              <w:rPr>
                <w:rFonts w:hint="eastAsia"/>
              </w:rPr>
              <w:t>符合第四章“合同条款”规定，投标文件不应附有招标人不能接受的条件。</w:t>
            </w:r>
          </w:p>
        </w:tc>
      </w:tr>
      <w:tr>
        <w:trPr>
          <w:trHeight w:val="718"/>
        </w:trPr>
        <w:tc>
          <w:tcPr>
            <w:tcW w:w="709" w:type="dxa"/>
            <w:vMerge/>
            <w:noWrap/>
            <w:vAlign w:val="center"/>
          </w:tcPr>
          <w:p/>
        </w:tc>
        <w:tc>
          <w:tcPr>
            <w:tcW w:w="709" w:type="dxa"/>
            <w:vMerge/>
            <w:noWrap/>
            <w:vAlign w:val="center"/>
          </w:tcPr>
          <w:p/>
        </w:tc>
        <w:tc>
          <w:tcPr>
            <w:tcW w:w="1984" w:type="dxa"/>
            <w:gridSpan w:val="2"/>
            <w:noWrap/>
            <w:vAlign w:val="center"/>
          </w:tcPr>
          <w:p>
            <w:pPr>
              <w:pStyle w:val="30"/>
              <w:bidi w:val="0"/>
              <w:jc w:val="center"/>
            </w:pPr>
            <w:r>
              <w:rPr>
                <w:rFonts w:hint="eastAsia"/>
              </w:rPr>
              <w:t>实质性要求</w:t>
            </w:r>
          </w:p>
        </w:tc>
        <w:tc>
          <w:tcPr>
            <w:tcW w:w="6096" w:type="dxa"/>
            <w:gridSpan w:val="2"/>
            <w:noWrap/>
            <w:vAlign w:val="center"/>
          </w:tcPr>
          <w:p>
            <w:pPr>
              <w:pStyle w:val="30"/>
              <w:bidi w:val="0"/>
            </w:pPr>
            <w:r>
              <w:rPr>
                <w:rFonts w:hint="eastAsia"/>
              </w:rPr>
              <w:t>符合招标文件中规定的其他实质性要求</w:t>
            </w:r>
          </w:p>
        </w:tc>
      </w:tr>
      <w:tr>
        <w:trPr>
          <w:trHeight w:val="933"/>
        </w:trPr>
        <w:tc>
          <w:tcPr>
            <w:tcW w:w="1418" w:type="dxa"/>
            <w:gridSpan w:val="2"/>
            <w:noWrap/>
            <w:vAlign w:val="center"/>
          </w:tcPr>
          <w:p>
            <w:pPr>
              <w:pStyle w:val="30"/>
              <w:bidi w:val="0"/>
              <w:jc w:val="center"/>
            </w:pPr>
            <w:r>
              <w:rPr>
                <w:rFonts w:hint="eastAsia"/>
              </w:rPr>
              <w:t>2.2</w:t>
            </w:r>
          </w:p>
        </w:tc>
        <w:tc>
          <w:tcPr>
            <w:tcW w:w="1984" w:type="dxa"/>
            <w:gridSpan w:val="2"/>
            <w:noWrap/>
            <w:vAlign w:val="center"/>
          </w:tcPr>
          <w:p>
            <w:pPr>
              <w:pStyle w:val="30"/>
              <w:bidi w:val="0"/>
              <w:jc w:val="center"/>
            </w:pPr>
            <w:r>
              <w:rPr>
                <w:rFonts w:hint="eastAsia"/>
              </w:rPr>
              <w:t>分值构成</w:t>
            </w:r>
          </w:p>
          <w:p>
            <w:pPr>
              <w:pStyle w:val="30"/>
              <w:bidi w:val="0"/>
              <w:jc w:val="center"/>
            </w:pPr>
            <w:r>
              <w:rPr>
                <w:rFonts w:hint="eastAsia"/>
              </w:rPr>
              <w:t>（总分100分）</w:t>
            </w:r>
          </w:p>
        </w:tc>
        <w:tc>
          <w:tcPr>
            <w:tcW w:w="6096" w:type="dxa"/>
            <w:gridSpan w:val="2"/>
            <w:noWrap/>
            <w:vAlign w:val="center"/>
          </w:tcPr>
          <w:p>
            <w:pPr>
              <w:pStyle w:val="30"/>
              <w:bidi w:val="0"/>
            </w:pPr>
            <w:r>
              <w:rPr>
                <w:rFonts w:hint="eastAsia"/>
              </w:rPr>
              <w:t>A投标报价：</w:t>
            </w:r>
            <w:r>
              <w:rPr>
                <w:rFonts w:hint="eastAsia"/>
                <w:lang w:val="en-US" w:eastAsia="zh-CN"/>
              </w:rPr>
              <w:t>30</w:t>
            </w:r>
            <w:r>
              <w:rPr>
                <w:rFonts w:hint="eastAsia"/>
              </w:rPr>
              <w:t>分</w:t>
            </w:r>
          </w:p>
          <w:p>
            <w:pPr>
              <w:pStyle w:val="30"/>
              <w:bidi w:val="0"/>
            </w:pPr>
            <w:r>
              <w:rPr>
                <w:rFonts w:hint="eastAsia"/>
              </w:rPr>
              <w:t>B商务部分：</w:t>
            </w:r>
            <w:r>
              <w:rPr>
                <w:rFonts w:hint="eastAsia"/>
                <w:lang w:val="en-US" w:eastAsia="zh-CN"/>
              </w:rPr>
              <w:t>10</w:t>
            </w:r>
            <w:r>
              <w:rPr>
                <w:rFonts w:hint="eastAsia"/>
              </w:rPr>
              <w:t>分</w:t>
            </w:r>
          </w:p>
          <w:p>
            <w:pPr>
              <w:pStyle w:val="30"/>
              <w:bidi w:val="0"/>
            </w:pPr>
            <w:r>
              <w:rPr>
                <w:rFonts w:hint="eastAsia"/>
              </w:rPr>
              <w:t>C技术部分：</w:t>
            </w:r>
            <w:r>
              <w:rPr>
                <w:rFonts w:hint="eastAsia"/>
                <w:lang w:val="en-US" w:eastAsia="zh-CN"/>
              </w:rPr>
              <w:t>60</w:t>
            </w:r>
            <w:r>
              <w:rPr>
                <w:rFonts w:hint="eastAsia"/>
              </w:rPr>
              <w:t>分</w:t>
            </w:r>
          </w:p>
        </w:tc>
      </w:tr>
      <w:tr>
        <w:trPr>
          <w:trHeight w:val="268"/>
        </w:trPr>
        <w:tc>
          <w:tcPr>
            <w:tcW w:w="1418" w:type="dxa"/>
            <w:gridSpan w:val="2"/>
            <w:noWrap/>
            <w:vAlign w:val="center"/>
          </w:tcPr>
          <w:p>
            <w:pPr>
              <w:pStyle w:val="30"/>
              <w:bidi w:val="0"/>
              <w:jc w:val="center"/>
              <w:rPr>
                <w:b/>
                <w:bCs/>
              </w:rPr>
            </w:pPr>
            <w:r>
              <w:rPr>
                <w:rFonts w:hint="eastAsia"/>
                <w:b/>
                <w:bCs/>
              </w:rPr>
              <w:t>评分因素</w:t>
            </w:r>
          </w:p>
        </w:tc>
        <w:tc>
          <w:tcPr>
            <w:tcW w:w="895" w:type="dxa"/>
            <w:noWrap/>
            <w:vAlign w:val="center"/>
          </w:tcPr>
          <w:p>
            <w:pPr>
              <w:pStyle w:val="30"/>
              <w:bidi w:val="0"/>
              <w:jc w:val="center"/>
              <w:rPr>
                <w:b/>
                <w:bCs/>
              </w:rPr>
            </w:pPr>
            <w:r>
              <w:rPr>
                <w:rFonts w:hint="eastAsia"/>
                <w:b/>
                <w:bCs/>
              </w:rPr>
              <w:t>分值</w:t>
            </w:r>
          </w:p>
        </w:tc>
        <w:tc>
          <w:tcPr>
            <w:tcW w:w="7185" w:type="dxa"/>
            <w:gridSpan w:val="3"/>
            <w:noWrap/>
            <w:vAlign w:val="center"/>
          </w:tcPr>
          <w:p>
            <w:pPr>
              <w:pStyle w:val="30"/>
              <w:bidi w:val="0"/>
              <w:jc w:val="center"/>
              <w:rPr>
                <w:rFonts w:hint="eastAsia"/>
                <w:b/>
                <w:bCs/>
              </w:rPr>
            </w:pPr>
            <w:r>
              <w:rPr>
                <w:rFonts w:hint="eastAsia"/>
                <w:b/>
                <w:bCs/>
              </w:rPr>
              <w:t>评分标准</w:t>
            </w:r>
          </w:p>
        </w:tc>
      </w:tr>
      <w:tr>
        <w:trPr>
          <w:trHeight w:val="1743"/>
        </w:trPr>
        <w:tc>
          <w:tcPr>
            <w:tcW w:w="1418" w:type="dxa"/>
            <w:gridSpan w:val="2"/>
            <w:noWrap/>
            <w:vAlign w:val="center"/>
          </w:tcPr>
          <w:p>
            <w:pPr>
              <w:pStyle w:val="30"/>
              <w:bidi w:val="0"/>
              <w:jc w:val="center"/>
            </w:pPr>
            <w:r>
              <w:rPr>
                <w:rFonts w:hint="eastAsia"/>
              </w:rPr>
              <w:t>2.2.1（A）</w:t>
            </w:r>
          </w:p>
          <w:p>
            <w:pPr>
              <w:pStyle w:val="30"/>
              <w:bidi w:val="0"/>
              <w:jc w:val="center"/>
              <w:rPr>
                <w:rFonts w:hint="eastAsia"/>
              </w:rPr>
            </w:pPr>
            <w:r>
              <w:rPr>
                <w:rFonts w:hint="eastAsia"/>
              </w:rPr>
              <w:t>投标报价</w:t>
            </w:r>
          </w:p>
          <w:p>
            <w:pPr>
              <w:pStyle w:val="30"/>
              <w:bidi w:val="0"/>
              <w:jc w:val="center"/>
            </w:pPr>
            <w:r>
              <w:rPr>
                <w:rFonts w:hint="eastAsia"/>
              </w:rPr>
              <w:t>（</w:t>
            </w:r>
            <w:r>
              <w:rPr>
                <w:rFonts w:hint="eastAsia"/>
                <w:lang w:val="en-US" w:eastAsia="zh-CN"/>
              </w:rPr>
              <w:t>30</w:t>
            </w:r>
            <w:r>
              <w:rPr>
                <w:rFonts w:hint="eastAsia"/>
              </w:rPr>
              <w:t>%）</w:t>
            </w:r>
          </w:p>
        </w:tc>
        <w:tc>
          <w:tcPr>
            <w:tcW w:w="895" w:type="dxa"/>
            <w:noWrap/>
            <w:vAlign w:val="center"/>
          </w:tcPr>
          <w:p>
            <w:pPr>
              <w:pStyle w:val="30"/>
              <w:bidi w:val="0"/>
              <w:jc w:val="center"/>
              <w:rPr>
                <w:rFonts w:hint="eastAsia"/>
              </w:rPr>
            </w:pPr>
            <w:r>
              <w:rPr>
                <w:rFonts w:hint="eastAsia"/>
              </w:rPr>
              <w:t>投标总报价（</w:t>
            </w:r>
            <w:r>
              <w:rPr>
                <w:rFonts w:hint="eastAsia"/>
                <w:lang w:val="en-US" w:eastAsia="zh-CN"/>
              </w:rPr>
              <w:t>30</w:t>
            </w:r>
            <w:r>
              <w:rPr>
                <w:rFonts w:hint="eastAsia"/>
              </w:rPr>
              <w:t>分）</w:t>
            </w:r>
          </w:p>
        </w:tc>
        <w:tc>
          <w:tcPr>
            <w:tcW w:w="7185" w:type="dxa"/>
            <w:gridSpan w:val="3"/>
            <w:noWrap/>
            <w:vAlign w:val="center"/>
          </w:tcPr>
          <w:p>
            <w:pPr>
              <w:pStyle w:val="30"/>
              <w:bidi w:val="0"/>
              <w:rPr>
                <w:rFonts w:hint="eastAsia"/>
                <w:lang w:val="zh-CN"/>
              </w:rPr>
            </w:pPr>
            <w:r>
              <w:rPr>
                <w:rFonts w:hint="eastAsia"/>
                <w:lang w:val="zh-CN"/>
              </w:rPr>
              <w:t>满足资格性、符合性要求且投标报价最低的供应商的价格为评标基准价，其价格分为满分。按照下列公式计算每个供应商的投标报价得分。</w:t>
            </w:r>
          </w:p>
          <w:p>
            <w:pPr>
              <w:pStyle w:val="30"/>
              <w:bidi w:val="0"/>
              <w:rPr>
                <w:rFonts w:hint="eastAsia"/>
              </w:rPr>
            </w:pPr>
            <w:r>
              <w:rPr>
                <w:rFonts w:hint="eastAsia"/>
                <w:lang w:val="zh-CN"/>
              </w:rPr>
              <w:t>投标报价得分=（评标基准价/投标报价）×价格权值×100。</w:t>
            </w:r>
            <w:r>
              <w:rPr>
                <w:rFonts w:hint="eastAsia"/>
              </w:rPr>
              <w:t>以上计算结果取小数点后两位，第三位四舍五入。</w:t>
            </w:r>
          </w:p>
        </w:tc>
      </w:tr>
      <w:tr>
        <w:trPr>
          <w:trHeight w:val="558"/>
        </w:trPr>
        <w:tc>
          <w:tcPr>
            <w:tcW w:w="1418" w:type="dxa"/>
            <w:gridSpan w:val="2"/>
            <w:tcBorders>
              <w:top w:val="single" w:sz="4" w:space="0" w:color="auto"/>
              <w:bottom w:val="single" w:sz="4" w:space="0" w:color="auto"/>
            </w:tcBorders>
            <w:noWrap/>
            <w:vAlign w:val="center"/>
          </w:tcPr>
          <w:p>
            <w:pPr>
              <w:pStyle w:val="30"/>
              <w:bidi w:val="0"/>
              <w:jc w:val="center"/>
              <w:rPr>
                <w:rFonts w:hint="eastAsia"/>
              </w:rPr>
            </w:pPr>
            <w:r>
              <w:rPr>
                <w:rFonts w:hint="eastAsia"/>
              </w:rPr>
              <w:t>2.2.1（B）</w:t>
            </w:r>
          </w:p>
          <w:p>
            <w:pPr>
              <w:pStyle w:val="30"/>
              <w:bidi w:val="0"/>
              <w:jc w:val="center"/>
              <w:rPr>
                <w:rFonts w:hint="eastAsia"/>
              </w:rPr>
            </w:pPr>
            <w:r>
              <w:rPr>
                <w:rFonts w:hint="eastAsia"/>
              </w:rPr>
              <w:t>商务部分</w:t>
            </w:r>
          </w:p>
          <w:p>
            <w:pPr>
              <w:pStyle w:val="30"/>
              <w:bidi w:val="0"/>
              <w:jc w:val="center"/>
              <w:rPr>
                <w:rFonts w:hint="eastAsia"/>
              </w:rPr>
            </w:pPr>
            <w:r>
              <w:rPr>
                <w:rFonts w:hint="eastAsia"/>
              </w:rPr>
              <w:t>（</w:t>
            </w:r>
            <w:r>
              <w:rPr>
                <w:rFonts w:hint="eastAsia"/>
                <w:lang w:val="en-US" w:eastAsia="zh-CN"/>
              </w:rPr>
              <w:t>10</w:t>
            </w:r>
            <w:r>
              <w:rPr>
                <w:rFonts w:hint="eastAsia"/>
              </w:rPr>
              <w:t>%）</w:t>
            </w:r>
          </w:p>
        </w:tc>
        <w:tc>
          <w:tcPr>
            <w:tcW w:w="895" w:type="dxa"/>
            <w:tcBorders>
              <w:top w:val="single" w:sz="4" w:space="0" w:color="auto"/>
            </w:tcBorders>
            <w:noWrap/>
            <w:vAlign w:val="center"/>
          </w:tcPr>
          <w:p>
            <w:pPr>
              <w:pStyle w:val="30"/>
              <w:bidi w:val="0"/>
              <w:jc w:val="center"/>
              <w:rPr>
                <w:rFonts w:hint="eastAsia"/>
                <w:color w:val="auto"/>
              </w:rPr>
            </w:pPr>
            <w:r>
              <w:rPr>
                <w:rFonts w:hint="eastAsia"/>
                <w:color w:val="auto"/>
              </w:rPr>
              <w:t>业绩案例（</w:t>
            </w:r>
            <w:r>
              <w:rPr>
                <w:rFonts w:hint="eastAsia"/>
                <w:color w:val="auto"/>
                <w:lang w:val="en-US" w:eastAsia="zh-CN"/>
              </w:rPr>
              <w:t>10</w:t>
            </w:r>
            <w:r>
              <w:rPr>
                <w:rFonts w:hint="eastAsia"/>
                <w:color w:val="auto"/>
              </w:rPr>
              <w:t>分）</w:t>
            </w:r>
          </w:p>
        </w:tc>
        <w:tc>
          <w:tcPr>
            <w:tcW w:w="7185" w:type="dxa"/>
            <w:gridSpan w:val="3"/>
            <w:noWrap/>
            <w:vAlign w:val="center"/>
          </w:tcPr>
          <w:p>
            <w:pPr>
              <w:pStyle w:val="30"/>
              <w:bidi w:val="0"/>
              <w:rPr>
                <w:rFonts w:hint="eastAsia"/>
              </w:rPr>
            </w:pPr>
            <w:r>
              <w:rPr>
                <w:rFonts w:ascii="宋体" w:eastAsia="宋体" w:cs="宋体" w:hint="eastAsia"/>
                <w:color w:val="auto"/>
                <w:sz w:val="21"/>
                <w:szCs w:val="21"/>
                <w:lang w:val="zh-CN"/>
                <w:highlight w:val="auto"/>
              </w:rPr>
              <w:t>近年（20</w:t>
            </w:r>
            <w:r>
              <w:rPr>
                <w:rFonts w:ascii="宋体" w:eastAsia="宋体" w:cs="宋体" w:hint="eastAsia"/>
                <w:color w:val="auto"/>
                <w:sz w:val="21"/>
                <w:szCs w:val="21"/>
                <w:lang w:val="en-US" w:eastAsia="zh-CN"/>
                <w:highlight w:val="auto"/>
              </w:rPr>
              <w:t>2</w:t>
            </w:r>
            <w:r>
              <w:rPr>
                <w:rFonts w:ascii="宋体" w:eastAsia="宋体" w:cs="宋体"/>
                <w:color w:val="auto"/>
                <w:sz w:val="21"/>
                <w:szCs w:val="21"/>
                <w:lang w:val="en-US" w:eastAsia="zh-CN"/>
                <w:highlight w:val="auto"/>
              </w:rPr>
              <w:t>3</w:t>
            </w:r>
            <w:r>
              <w:rPr>
                <w:rFonts w:ascii="宋体" w:eastAsia="宋体" w:cs="宋体" w:hint="eastAsia"/>
                <w:color w:val="auto"/>
                <w:sz w:val="21"/>
                <w:szCs w:val="21"/>
                <w:lang w:val="zh-CN"/>
                <w:highlight w:val="auto"/>
              </w:rPr>
              <w:t>年1月1日至今，以合同签订时间为准），投标人承担过</w:t>
            </w:r>
            <w:r>
              <w:rPr>
                <w:rFonts w:ascii="宋体" w:eastAsia="宋体" w:cs="宋体" w:hint="eastAsia"/>
                <w:color w:val="auto"/>
                <w:sz w:val="21"/>
                <w:szCs w:val="21"/>
                <w:lang w:val="en-US" w:eastAsia="zh-CN"/>
                <w:highlight w:val="auto"/>
              </w:rPr>
              <w:t>类似项目</w:t>
            </w:r>
            <w:r>
              <w:rPr>
                <w:rFonts w:ascii="宋体" w:eastAsia="宋体" w:cs="宋体" w:hint="eastAsia"/>
                <w:color w:val="auto"/>
                <w:sz w:val="21"/>
                <w:szCs w:val="21"/>
                <w:lang w:val="zh-CN"/>
                <w:highlight w:val="auto"/>
              </w:rPr>
              <w:t>，</w:t>
            </w:r>
            <w:r>
              <w:rPr>
                <w:rFonts w:ascii="宋体" w:eastAsia="宋体" w:cs="宋体" w:hint="eastAsia"/>
                <w:color w:val="auto"/>
                <w:sz w:val="21"/>
                <w:szCs w:val="21"/>
                <w:lang w:val="en-US" w:eastAsia="zh-CN"/>
                <w:highlight w:val="auto"/>
              </w:rPr>
              <w:t>一个得</w:t>
            </w:r>
            <w:r>
              <w:rPr>
                <w:rFonts w:ascii="宋体" w:cs="宋体"/>
                <w:color w:val="auto"/>
                <w:sz w:val="21"/>
                <w:szCs w:val="21"/>
                <w:lang w:val="en-US" w:eastAsia="zh-CN"/>
                <w:highlight w:val="auto"/>
              </w:rPr>
              <w:t>5</w:t>
            </w:r>
            <w:r>
              <w:rPr>
                <w:rFonts w:ascii="宋体" w:eastAsia="宋体" w:cs="宋体" w:hint="eastAsia"/>
                <w:color w:val="auto"/>
                <w:sz w:val="21"/>
                <w:szCs w:val="21"/>
                <w:lang w:val="zh-CN"/>
                <w:highlight w:val="auto"/>
              </w:rPr>
              <w:t>分</w:t>
            </w:r>
            <w:r>
              <w:rPr>
                <w:rFonts w:ascii="宋体" w:eastAsia="宋体" w:cs="宋体" w:hint="eastAsia"/>
                <w:color w:val="auto"/>
                <w:sz w:val="21"/>
                <w:szCs w:val="21"/>
                <w:lang w:val="en-US" w:eastAsia="zh-CN"/>
                <w:highlight w:val="auto"/>
              </w:rPr>
              <w:t>,最高得</w:t>
            </w:r>
            <w:r>
              <w:rPr>
                <w:rFonts w:ascii="宋体" w:cs="宋体" w:hint="eastAsia"/>
                <w:color w:val="auto"/>
                <w:sz w:val="21"/>
                <w:szCs w:val="21"/>
                <w:lang w:val="en-US" w:eastAsia="zh-CN"/>
                <w:highlight w:val="auto"/>
              </w:rPr>
              <w:t>10</w:t>
            </w:r>
            <w:r>
              <w:rPr>
                <w:rFonts w:ascii="宋体" w:eastAsia="宋体" w:cs="宋体" w:hint="eastAsia"/>
                <w:color w:val="auto"/>
                <w:sz w:val="21"/>
                <w:szCs w:val="21"/>
                <w:lang w:val="en-US" w:eastAsia="zh-CN"/>
                <w:highlight w:val="auto"/>
              </w:rPr>
              <w:t>分。</w:t>
            </w:r>
          </w:p>
        </w:tc>
      </w:tr>
      <w:tr>
        <w:trPr>
          <w:trHeight w:val="699"/>
        </w:trPr>
        <w:tc>
          <w:tcPr>
            <w:tcW w:w="1418" w:type="dxa"/>
            <w:gridSpan w:val="2"/>
            <w:vMerge w:val="restart"/>
            <w:tcBorders>
              <w:top w:val="single" w:sz="4" w:space="0" w:color="auto"/>
            </w:tcBorders>
            <w:noWrap/>
            <w:vAlign w:val="center"/>
          </w:tcPr>
          <w:p>
            <w:pPr>
              <w:pStyle w:val="30"/>
              <w:bidi w:val="0"/>
              <w:jc w:val="center"/>
              <w:rPr>
                <w:rFonts w:hint="eastAsia"/>
              </w:rPr>
            </w:pPr>
            <w:r>
              <w:rPr>
                <w:rFonts w:hint="eastAsia"/>
              </w:rPr>
              <w:t>2.2.1（C）</w:t>
            </w:r>
          </w:p>
          <w:p>
            <w:pPr>
              <w:pStyle w:val="30"/>
              <w:bidi w:val="0"/>
              <w:jc w:val="center"/>
              <w:rPr>
                <w:rFonts w:hint="eastAsia"/>
              </w:rPr>
            </w:pPr>
            <w:r>
              <w:rPr>
                <w:rFonts w:hint="eastAsia"/>
              </w:rPr>
              <w:t>技术部分</w:t>
            </w:r>
          </w:p>
          <w:p>
            <w:pPr>
              <w:pStyle w:val="30"/>
              <w:bidi w:val="0"/>
              <w:jc w:val="center"/>
              <w:rPr>
                <w:rFonts w:hint="eastAsia"/>
              </w:rPr>
            </w:pPr>
            <w:r>
              <w:rPr>
                <w:rFonts w:hint="eastAsia"/>
              </w:rPr>
              <w:t>（</w:t>
            </w:r>
            <w:r>
              <w:rPr>
                <w:rFonts w:hint="eastAsia"/>
                <w:lang w:val="en-US" w:eastAsia="zh-CN"/>
              </w:rPr>
              <w:t>60</w:t>
            </w:r>
            <w:r>
              <w:rPr>
                <w:rFonts w:hint="eastAsia"/>
              </w:rPr>
              <w:t>%）</w:t>
            </w:r>
          </w:p>
        </w:tc>
        <w:tc>
          <w:tcPr>
            <w:tcW w:w="895" w:type="dxa"/>
            <w:tcBorders>
              <w:top w:val="single" w:sz="4" w:space="0" w:color="auto"/>
              <w:bottom w:val="single" w:sz="4" w:space="0" w:color="auto"/>
            </w:tcBorders>
            <w:noWrap/>
            <w:vAlign w:val="center"/>
          </w:tcPr>
          <w:p>
            <w:pPr>
              <w:pStyle w:val="30"/>
              <w:bidi w:val="0"/>
              <w:jc w:val="center"/>
              <w:rPr>
                <w:rFonts w:hint="eastAsia"/>
                <w:color w:val="auto"/>
              </w:rPr>
            </w:pPr>
          </w:p>
        </w:tc>
        <w:tc>
          <w:tcPr>
            <w:tcW w:w="7185" w:type="dxa"/>
            <w:gridSpan w:val="3"/>
            <w:noWrap/>
            <w:vAlign w:val="center"/>
          </w:tcPr>
          <w:p>
            <w:pPr>
              <w:pStyle w:val="30"/>
              <w:bidi w:val="0"/>
              <w:rPr>
                <w:rFonts w:ascii="宋体" w:eastAsia="宋体" w:cs="宋体" w:hint="eastAsia"/>
                <w:color w:val="auto"/>
                <w:sz w:val="21"/>
                <w:szCs w:val="21"/>
                <w:lang w:val="zh-CN"/>
                <w:highlight w:val="auto"/>
              </w:rPr>
            </w:pPr>
            <w:r>
              <w:rPr>
                <w:rFonts w:hint="eastAsia"/>
              </w:rPr>
              <w:t>各评委自行独立评审打分。技术部分得分取所有评委评分的算术平均值作为最终计算结果。</w:t>
            </w:r>
          </w:p>
        </w:tc>
      </w:tr>
      <w:tr>
        <w:trPr>
          <w:trHeight w:val="699"/>
        </w:trPr>
        <w:tc>
          <w:tcPr>
            <w:tcW w:w="1418" w:type="dxa"/>
            <w:gridSpan w:val="2"/>
            <w:vMerge/>
            <w:noWrap/>
            <w:vAlign w:val="center"/>
          </w:tcPr>
          <w:p/>
        </w:tc>
        <w:tc>
          <w:tcPr>
            <w:tcW w:w="895" w:type="dxa"/>
            <w:tcBorders>
              <w:top w:val="single" w:sz="4" w:space="0" w:color="auto"/>
              <w:bottom w:val="single" w:sz="4" w:space="0" w:color="auto"/>
            </w:tcBorders>
            <w:noWrap/>
            <w:vAlign w:val="center"/>
          </w:tcPr>
          <w:p>
            <w:pPr>
              <w:pStyle w:val="30"/>
              <w:bidi w:val="0"/>
              <w:jc w:val="center"/>
              <w:rPr>
                <w:rFonts w:hint="eastAsia"/>
                <w:color w:val="auto"/>
              </w:rPr>
            </w:pPr>
            <w:r>
              <w:rPr>
                <w:rFonts w:hint="eastAsia"/>
                <w:color w:val="auto"/>
              </w:rPr>
              <w:t>技术参数（</w:t>
            </w:r>
            <w:r>
              <w:rPr>
                <w:rFonts w:hint="eastAsia"/>
                <w:color w:val="auto"/>
                <w:lang w:val="en-US" w:eastAsia="zh-CN"/>
              </w:rPr>
              <w:t>3</w:t>
            </w:r>
            <w:r>
              <w:rPr>
                <w:rFonts w:hint="eastAsia"/>
                <w:color w:val="auto"/>
              </w:rPr>
              <w:t>0分）</w:t>
            </w:r>
          </w:p>
        </w:tc>
        <w:tc>
          <w:tcPr>
            <w:tcW w:w="7185" w:type="dxa"/>
            <w:gridSpan w:val="3"/>
            <w:noWrap/>
            <w:vAlign w:val="center"/>
          </w:tcPr>
          <w:p>
            <w:pPr>
              <w:ind w:left="0" w:firstLineChars="0" w:firstLine="0"/>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1.重要技术参数指标进行比对（实行倒扣分，重要技术参数即“第五章</w:t>
            </w:r>
            <w:r>
              <w:rPr>
                <w:rFonts w:ascii="宋体" w:eastAsia="宋体" w:cs="宋体" w:hint="eastAsia"/>
                <w:color w:val="auto"/>
                <w:sz w:val="21"/>
                <w:szCs w:val="21"/>
                <w:lang w:val="en-US" w:eastAsia="zh-CN"/>
                <w:highlight w:val="auto"/>
              </w:rPr>
              <w:t xml:space="preserve"> 二</w:t>
            </w:r>
            <w:r>
              <w:rPr>
                <w:rFonts w:ascii="宋体" w:eastAsia="宋体" w:cs="宋体" w:hint="eastAsia"/>
                <w:color w:val="auto"/>
                <w:sz w:val="21"/>
                <w:szCs w:val="21"/>
                <w:lang w:val="zh-CN"/>
                <w:highlight w:val="auto"/>
              </w:rPr>
              <w:t>、</w:t>
            </w:r>
            <w:r>
              <w:rPr>
                <w:rFonts w:ascii="宋体" w:eastAsia="宋体" w:cs="宋体" w:hint="eastAsia"/>
                <w:color w:val="auto"/>
                <w:sz w:val="21"/>
                <w:szCs w:val="21"/>
                <w:lang w:val="en-US" w:eastAsia="zh-CN"/>
                <w:highlight w:val="auto"/>
              </w:rPr>
              <w:t>项目建设内容及详细技术要求</w:t>
            </w:r>
            <w:r>
              <w:rPr>
                <w:rFonts w:ascii="宋体" w:eastAsia="宋体" w:cs="宋体" w:hint="eastAsia"/>
                <w:color w:val="auto"/>
                <w:sz w:val="21"/>
                <w:szCs w:val="21"/>
                <w:lang w:val="zh-CN"/>
                <w:highlight w:val="auto"/>
              </w:rPr>
              <w:t>”中带★标注的部分），有一条达不到技术参数最低要求的扣</w:t>
            </w:r>
            <w:r>
              <w:rPr>
                <w:rFonts w:ascii="宋体" w:cs="宋体" w:hint="eastAsia"/>
                <w:color w:val="auto"/>
                <w:sz w:val="21"/>
                <w:szCs w:val="21"/>
                <w:lang w:val="en-US" w:eastAsia="zh-CN"/>
                <w:highlight w:val="auto"/>
              </w:rPr>
              <w:t>5</w:t>
            </w:r>
            <w:r>
              <w:rPr>
                <w:rFonts w:ascii="宋体" w:eastAsia="宋体" w:cs="宋体" w:hint="eastAsia"/>
                <w:color w:val="auto"/>
                <w:sz w:val="21"/>
                <w:szCs w:val="21"/>
                <w:lang w:val="zh-CN"/>
                <w:highlight w:val="auto"/>
              </w:rPr>
              <w:t>分，扣完为止。</w:t>
            </w:r>
          </w:p>
          <w:p>
            <w:pPr>
              <w:ind w:left="0" w:firstLineChars="0" w:firstLine="0"/>
              <w:rPr>
                <w:rFonts w:hint="eastAsia"/>
              </w:rPr>
            </w:pPr>
            <w:r>
              <w:rPr>
                <w:rFonts w:ascii="宋体" w:eastAsia="宋体" w:cs="宋体" w:hint="eastAsia"/>
                <w:color w:val="auto"/>
                <w:sz w:val="21"/>
                <w:szCs w:val="21"/>
                <w:lang w:val="zh-CN"/>
                <w:highlight w:val="auto"/>
              </w:rPr>
              <w:t>2.一般技术参数指标进行比对（实行倒扣分，一般技术参数即“第五章</w:t>
            </w:r>
            <w:r>
              <w:rPr>
                <w:rFonts w:ascii="宋体" w:eastAsia="宋体" w:cs="宋体" w:hint="eastAsia"/>
                <w:color w:val="auto"/>
                <w:sz w:val="21"/>
                <w:szCs w:val="21"/>
                <w:lang w:val="en-US" w:eastAsia="zh-CN"/>
                <w:highlight w:val="auto"/>
              </w:rPr>
              <w:t xml:space="preserve"> 二</w:t>
            </w:r>
            <w:r>
              <w:rPr>
                <w:rFonts w:ascii="宋体" w:eastAsia="宋体" w:cs="宋体" w:hint="eastAsia"/>
                <w:color w:val="auto"/>
                <w:sz w:val="21"/>
                <w:szCs w:val="21"/>
                <w:lang w:val="zh-CN"/>
                <w:highlight w:val="auto"/>
              </w:rPr>
              <w:t>、</w:t>
            </w:r>
            <w:r>
              <w:rPr>
                <w:rFonts w:ascii="宋体" w:eastAsia="宋体" w:cs="宋体" w:hint="eastAsia"/>
                <w:color w:val="auto"/>
                <w:sz w:val="21"/>
                <w:szCs w:val="21"/>
                <w:lang w:val="en-US" w:eastAsia="zh-CN"/>
                <w:highlight w:val="auto"/>
              </w:rPr>
              <w:t>项目建设内容及详细技术要求</w:t>
            </w:r>
            <w:r>
              <w:rPr>
                <w:rFonts w:ascii="宋体" w:eastAsia="宋体" w:cs="宋体" w:hint="eastAsia"/>
                <w:color w:val="auto"/>
                <w:sz w:val="21"/>
                <w:szCs w:val="21"/>
                <w:lang w:val="zh-CN"/>
                <w:highlight w:val="auto"/>
              </w:rPr>
              <w:t>”中非★标注的部分），有一条达不到技术参数最低要求的扣1分，扣完为止。</w:t>
            </w:r>
          </w:p>
        </w:tc>
      </w:tr>
      <w:tr>
        <w:trPr>
          <w:trHeight w:val="90"/>
        </w:trPr>
        <w:tc>
          <w:tcPr>
            <w:tcW w:w="1418" w:type="dxa"/>
            <w:gridSpan w:val="2"/>
            <w:vMerge/>
            <w:noWrap/>
            <w:vAlign w:val="center"/>
          </w:tcPr>
          <w:p/>
        </w:tc>
        <w:tc>
          <w:tcPr>
            <w:tcW w:w="895" w:type="dxa"/>
            <w:vMerge w:val="restart"/>
            <w:tcBorders>
              <w:top w:val="single" w:sz="4" w:space="0" w:color="auto"/>
              <w:bottom w:val="single" w:sz="4" w:space="0" w:color="auto"/>
            </w:tcBorders>
            <w:noWrap/>
            <w:vAlign w:val="center"/>
          </w:tcPr>
          <w:p>
            <w:pPr>
              <w:pStyle w:val="30"/>
              <w:bidi w:val="0"/>
              <w:jc w:val="center"/>
              <w:rPr>
                <w:rFonts w:eastAsia="宋体"/>
                <w:color w:val="auto"/>
                <w:lang w:val="en-US" w:eastAsia="zh-CN"/>
              </w:rPr>
            </w:pPr>
            <w:r>
              <w:rPr>
                <w:rFonts w:hint="eastAsia"/>
                <w:color w:val="auto"/>
                <w:lang w:val="en-US" w:eastAsia="zh-CN"/>
              </w:rPr>
              <w:t>技术方案（30分）</w:t>
            </w:r>
          </w:p>
        </w:tc>
        <w:tc>
          <w:tcPr>
            <w:tcW w:w="1236" w:type="dxa"/>
            <w:gridSpan w:val="2"/>
            <w:tcBorders>
              <w:right w:val="single" w:sz="4" w:space="0" w:color="auto"/>
            </w:tcBorders>
            <w:noWrap/>
            <w:vAlign w:val="center"/>
          </w:tcPr>
          <w:p>
            <w:pPr>
              <w:ind w:left="0" w:firstLineChars="0" w:firstLine="0"/>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项目认识</w:t>
            </w:r>
          </w:p>
          <w:p>
            <w:pPr>
              <w:ind w:left="0" w:firstLineChars="0" w:firstLine="0"/>
              <w:rPr>
                <w:rFonts w:hint="eastAsia"/>
              </w:rPr>
            </w:pPr>
            <w:r>
              <w:rPr>
                <w:rFonts w:ascii="宋体" w:eastAsia="宋体" w:cs="宋体" w:hint="eastAsia"/>
                <w:color w:val="auto"/>
                <w:sz w:val="21"/>
                <w:szCs w:val="21"/>
                <w:lang w:val="zh-CN"/>
                <w:highlight w:val="auto"/>
              </w:rPr>
              <w:t>（</w:t>
            </w:r>
            <w:r>
              <w:rPr>
                <w:rFonts w:ascii="宋体" w:eastAsia="宋体" w:cs="宋体" w:hint="eastAsia"/>
                <w:color w:val="auto"/>
                <w:sz w:val="21"/>
                <w:szCs w:val="21"/>
                <w:lang w:val="en-US" w:eastAsia="zh-CN"/>
                <w:highlight w:val="auto"/>
              </w:rPr>
              <w:t>5</w:t>
            </w:r>
            <w:r>
              <w:rPr>
                <w:rFonts w:ascii="宋体" w:eastAsia="宋体" w:cs="宋体" w:hint="eastAsia"/>
                <w:color w:val="auto"/>
                <w:sz w:val="21"/>
                <w:szCs w:val="21"/>
                <w:lang w:val="zh-CN"/>
                <w:highlight w:val="auto"/>
              </w:rPr>
              <w:t>分）</w:t>
            </w:r>
          </w:p>
        </w:tc>
        <w:tc>
          <w:tcPr>
            <w:tcW w:w="5949" w:type="dxa"/>
            <w:tcBorders>
              <w:left w:val="single" w:sz="4" w:space="0" w:color="auto"/>
            </w:tcBorders>
            <w:noWrap/>
            <w:vAlign w:val="center"/>
          </w:tcPr>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根据供应商针对本项目</w:t>
            </w:r>
            <w:r>
              <w:rPr>
                <w:rFonts w:ascii="宋体" w:eastAsia="宋体" w:cs="宋体" w:hint="eastAsia"/>
                <w:color w:val="auto"/>
                <w:sz w:val="21"/>
                <w:szCs w:val="21"/>
                <w:lang w:val="en-US" w:eastAsia="zh-CN"/>
                <w:highlight w:val="auto"/>
              </w:rPr>
              <w:t>现场勘察</w:t>
            </w:r>
            <w:r>
              <w:rPr>
                <w:rFonts w:ascii="宋体" w:eastAsia="宋体" w:cs="宋体" w:hint="eastAsia"/>
                <w:color w:val="auto"/>
                <w:sz w:val="21"/>
                <w:szCs w:val="21"/>
                <w:lang w:val="zh-CN"/>
                <w:highlight w:val="auto"/>
              </w:rPr>
              <w:t>项目需求、项目背景、项目目的、项目内容等内容进行评审。</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供应商提供的方案，能够很好把握重点、条理清楚、思路清晰，对本项目的认识理解透彻的，得</w:t>
            </w:r>
            <w:r>
              <w:rPr>
                <w:rFonts w:ascii="宋体" w:eastAsia="宋体" w:cs="宋体" w:hint="eastAsia"/>
                <w:color w:val="auto"/>
                <w:sz w:val="21"/>
                <w:szCs w:val="21"/>
                <w:lang w:val="en-US" w:eastAsia="zh-CN"/>
                <w:highlight w:val="auto"/>
              </w:rPr>
              <w:t>5-4</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供应商提供的方案，能够较好把握重点、条理较清楚、思路较清晰，理解较为透彻的，得</w:t>
            </w:r>
            <w:r>
              <w:rPr>
                <w:rFonts w:ascii="宋体" w:eastAsia="宋体" w:cs="宋体" w:hint="eastAsia"/>
                <w:color w:val="auto"/>
                <w:sz w:val="21"/>
                <w:szCs w:val="21"/>
                <w:lang w:val="en-US" w:eastAsia="zh-CN"/>
                <w:highlight w:val="auto"/>
              </w:rPr>
              <w:t>3-2</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供应商提供的方案，基本把握重点、条理基本清楚、思路基本清晰，理解一般的，得</w:t>
            </w:r>
            <w:r>
              <w:rPr>
                <w:rFonts w:ascii="宋体" w:eastAsia="宋体" w:cs="宋体" w:hint="eastAsia"/>
                <w:color w:val="auto"/>
                <w:sz w:val="21"/>
                <w:szCs w:val="21"/>
                <w:lang w:val="en-US" w:eastAsia="zh-CN"/>
                <w:highlight w:val="auto"/>
              </w:rPr>
              <w:t>1</w:t>
            </w:r>
            <w:r>
              <w:rPr>
                <w:rFonts w:ascii="宋体" w:eastAsia="宋体" w:cs="宋体" w:hint="eastAsia"/>
                <w:color w:val="auto"/>
                <w:sz w:val="21"/>
                <w:szCs w:val="21"/>
                <w:lang w:val="zh-CN"/>
                <w:highlight w:val="auto"/>
              </w:rPr>
              <w:t>分；</w:t>
            </w:r>
          </w:p>
          <w:p>
            <w:pPr>
              <w:ind w:firstLineChars="200" w:firstLine="420"/>
              <w:rPr>
                <w:rFonts w:hint="eastAsia"/>
              </w:rPr>
            </w:pPr>
            <w:r>
              <w:rPr>
                <w:rFonts w:ascii="宋体" w:eastAsia="宋体" w:cs="宋体" w:hint="eastAsia"/>
                <w:color w:val="auto"/>
                <w:sz w:val="21"/>
                <w:szCs w:val="21"/>
                <w:lang w:val="zh-CN"/>
                <w:highlight w:val="auto"/>
              </w:rPr>
              <w:t>未提供的不得分。</w:t>
            </w:r>
          </w:p>
        </w:tc>
      </w:tr>
      <w:tr>
        <w:trPr>
          <w:trHeight w:val="90"/>
        </w:trPr>
        <w:tc>
          <w:tcPr>
            <w:tcW w:w="1418" w:type="dxa"/>
            <w:gridSpan w:val="2"/>
            <w:vMerge/>
            <w:noWrap/>
            <w:vAlign w:val="center"/>
          </w:tcPr>
          <w:p/>
        </w:tc>
        <w:tc>
          <w:tcPr>
            <w:tcW w:w="895" w:type="dxa"/>
            <w:vMerge/>
            <w:tcBorders>
              <w:top w:val="single" w:sz="4" w:space="0" w:color="auto"/>
              <w:bottom w:val="single" w:sz="4" w:space="0" w:color="auto"/>
            </w:tcBorders>
            <w:noWrap/>
            <w:vAlign w:val="center"/>
          </w:tcPr>
          <w:p/>
        </w:tc>
        <w:tc>
          <w:tcPr>
            <w:tcW w:w="1236" w:type="dxa"/>
            <w:gridSpan w:val="2"/>
            <w:tcBorders>
              <w:right w:val="single" w:sz="4" w:space="0" w:color="auto"/>
            </w:tcBorders>
            <w:noWrap/>
            <w:vAlign w:val="center"/>
          </w:tcPr>
          <w:p>
            <w:pPr>
              <w:ind w:left="0" w:firstLineChars="0" w:firstLine="0"/>
              <w:rPr>
                <w:rFonts w:ascii="宋体" w:eastAsia="宋体" w:cs="宋体" w:hint="eastAsia"/>
                <w:color w:val="auto"/>
                <w:sz w:val="21"/>
                <w:szCs w:val="21"/>
                <w:lang w:val="en-US" w:eastAsia="zh-CN"/>
                <w:highlight w:val="auto"/>
              </w:rPr>
            </w:pPr>
            <w:r>
              <w:rPr>
                <w:rFonts w:ascii="宋体" w:eastAsia="宋体" w:cs="宋体" w:hint="eastAsia"/>
                <w:color w:val="auto"/>
                <w:sz w:val="21"/>
                <w:szCs w:val="21"/>
                <w:lang w:val="en-US" w:eastAsia="zh-CN"/>
                <w:highlight w:val="auto"/>
              </w:rPr>
              <w:t>实施方案</w:t>
            </w:r>
          </w:p>
          <w:p>
            <w:pPr>
              <w:ind w:left="0" w:firstLineChars="0" w:firstLine="0"/>
              <w:rPr>
                <w:rFonts w:hint="eastAsia"/>
              </w:rPr>
            </w:pPr>
            <w:r>
              <w:rPr>
                <w:rFonts w:ascii="宋体" w:eastAsia="宋体" w:cs="宋体" w:hint="eastAsia"/>
                <w:color w:val="auto"/>
                <w:sz w:val="21"/>
                <w:szCs w:val="21"/>
                <w:lang w:val="zh-CN"/>
                <w:highlight w:val="auto"/>
              </w:rPr>
              <w:t>（</w:t>
            </w:r>
            <w:r>
              <w:rPr>
                <w:rFonts w:ascii="宋体" w:cs="宋体" w:hint="eastAsia"/>
                <w:color w:val="auto"/>
                <w:sz w:val="21"/>
                <w:szCs w:val="21"/>
                <w:lang w:val="en-US" w:eastAsia="zh-CN"/>
                <w:highlight w:val="auto"/>
              </w:rPr>
              <w:t>10</w:t>
            </w:r>
            <w:r>
              <w:rPr>
                <w:rFonts w:ascii="宋体" w:eastAsia="宋体" w:cs="宋体" w:hint="eastAsia"/>
                <w:color w:val="auto"/>
                <w:sz w:val="21"/>
                <w:szCs w:val="21"/>
                <w:lang w:val="zh-CN"/>
                <w:highlight w:val="auto"/>
              </w:rPr>
              <w:t>分）</w:t>
            </w:r>
          </w:p>
        </w:tc>
        <w:tc>
          <w:tcPr>
            <w:tcW w:w="5949" w:type="dxa"/>
            <w:tcBorders>
              <w:left w:val="single" w:sz="4" w:space="0" w:color="auto"/>
            </w:tcBorders>
            <w:noWrap/>
            <w:vAlign w:val="center"/>
          </w:tcPr>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提供对本项目特点及关键性技术问题的认识及对策措施。内容包括但不限于：①</w:t>
            </w:r>
            <w:r>
              <w:rPr>
                <w:rFonts w:ascii="宋体" w:eastAsia="宋体" w:cs="宋体" w:hint="eastAsia"/>
                <w:color w:val="auto"/>
                <w:sz w:val="21"/>
                <w:szCs w:val="21"/>
                <w:lang w:val="en-US" w:eastAsia="zh-CN"/>
                <w:highlight w:val="auto"/>
              </w:rPr>
              <w:t>实施</w:t>
            </w:r>
            <w:r>
              <w:rPr>
                <w:rFonts w:ascii="宋体" w:eastAsia="宋体" w:cs="宋体" w:hint="eastAsia"/>
                <w:color w:val="auto"/>
                <w:sz w:val="21"/>
                <w:szCs w:val="21"/>
                <w:lang w:val="zh-CN"/>
                <w:highlight w:val="auto"/>
              </w:rPr>
              <w:t>内容、②技术规范及要求、③技术流程路线等。</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提供完整的</w:t>
            </w:r>
            <w:r>
              <w:rPr>
                <w:rFonts w:ascii="宋体" w:eastAsia="宋体" w:cs="宋体" w:hint="eastAsia"/>
                <w:color w:val="auto"/>
                <w:sz w:val="21"/>
                <w:szCs w:val="21"/>
                <w:lang w:val="en-US" w:eastAsia="zh-CN"/>
                <w:highlight w:val="auto"/>
              </w:rPr>
              <w:t>实施</w:t>
            </w:r>
            <w:r>
              <w:rPr>
                <w:rFonts w:ascii="宋体" w:eastAsia="宋体" w:cs="宋体" w:hint="eastAsia"/>
                <w:color w:val="auto"/>
                <w:sz w:val="21"/>
                <w:szCs w:val="21"/>
                <w:lang w:val="zh-CN"/>
                <w:highlight w:val="auto"/>
              </w:rPr>
              <w:t>方案且全面，针对性强，技术指标表述准确，具有实际可操作性，得</w:t>
            </w:r>
            <w:r>
              <w:rPr>
                <w:rFonts w:ascii="宋体" w:cs="宋体" w:hint="eastAsia"/>
                <w:color w:val="auto"/>
                <w:sz w:val="21"/>
                <w:szCs w:val="21"/>
                <w:lang w:val="en-US" w:eastAsia="zh-CN"/>
                <w:highlight w:val="auto"/>
              </w:rPr>
              <w:t>10</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8</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w:t>
            </w:r>
            <w:r>
              <w:rPr>
                <w:rFonts w:ascii="宋体" w:eastAsia="宋体" w:cs="宋体" w:hint="eastAsia"/>
                <w:color w:val="auto"/>
                <w:sz w:val="21"/>
                <w:szCs w:val="21"/>
                <w:lang w:val="en-US" w:eastAsia="zh-CN"/>
                <w:highlight w:val="auto"/>
              </w:rPr>
              <w:t>实施</w:t>
            </w:r>
            <w:r>
              <w:rPr>
                <w:rFonts w:ascii="宋体" w:eastAsia="宋体" w:cs="宋体" w:hint="eastAsia"/>
                <w:color w:val="auto"/>
                <w:sz w:val="21"/>
                <w:szCs w:val="21"/>
                <w:lang w:val="zh-CN"/>
                <w:highlight w:val="auto"/>
              </w:rPr>
              <w:t>方案完整且全面，针对性强，技术指标表述准确，实际可操作性较差，得</w:t>
            </w:r>
            <w:r>
              <w:rPr>
                <w:rFonts w:ascii="宋体" w:cs="宋体" w:hint="eastAsia"/>
                <w:color w:val="auto"/>
                <w:sz w:val="21"/>
                <w:szCs w:val="21"/>
                <w:lang w:val="en-US" w:eastAsia="zh-CN"/>
                <w:highlight w:val="auto"/>
              </w:rPr>
              <w:t>7</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4</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w:t>
            </w:r>
            <w:r>
              <w:rPr>
                <w:rFonts w:ascii="宋体" w:eastAsia="宋体" w:cs="宋体" w:hint="eastAsia"/>
                <w:color w:val="auto"/>
                <w:sz w:val="21"/>
                <w:szCs w:val="21"/>
                <w:lang w:val="en-US" w:eastAsia="zh-CN"/>
                <w:highlight w:val="auto"/>
              </w:rPr>
              <w:t>实施</w:t>
            </w:r>
            <w:r>
              <w:rPr>
                <w:rFonts w:ascii="宋体" w:eastAsia="宋体" w:cs="宋体" w:hint="eastAsia"/>
                <w:color w:val="auto"/>
                <w:sz w:val="21"/>
                <w:szCs w:val="21"/>
                <w:lang w:val="zh-CN"/>
                <w:highlight w:val="auto"/>
              </w:rPr>
              <w:t>方案内容齐全，针对性一般，技术指标表述不准确，实际可操作性较差，得</w:t>
            </w:r>
            <w:r>
              <w:rPr>
                <w:rFonts w:ascii="宋体" w:cs="宋体" w:hint="eastAsia"/>
                <w:color w:val="auto"/>
                <w:sz w:val="21"/>
                <w:szCs w:val="21"/>
                <w:lang w:val="en-US" w:eastAsia="zh-CN"/>
                <w:highlight w:val="auto"/>
              </w:rPr>
              <w:t>3-1</w:t>
            </w:r>
            <w:r>
              <w:rPr>
                <w:rFonts w:ascii="宋体" w:eastAsia="宋体" w:cs="宋体" w:hint="eastAsia"/>
                <w:color w:val="auto"/>
                <w:sz w:val="21"/>
                <w:szCs w:val="21"/>
                <w:lang w:val="zh-CN"/>
                <w:highlight w:val="auto"/>
              </w:rPr>
              <w:t>分；</w:t>
            </w:r>
          </w:p>
          <w:p>
            <w:pPr>
              <w:ind w:left="0" w:firstLineChars="200" w:firstLine="420"/>
              <w:rPr>
                <w:rFonts w:hint="eastAsia"/>
              </w:rPr>
            </w:pPr>
            <w:r>
              <w:rPr>
                <w:rFonts w:ascii="宋体" w:eastAsia="宋体" w:cs="宋体" w:hint="eastAsia"/>
                <w:color w:val="auto"/>
                <w:sz w:val="21"/>
                <w:szCs w:val="21"/>
                <w:lang w:val="zh-CN"/>
                <w:highlight w:val="auto"/>
              </w:rPr>
              <w:t>未提供的不得分。</w:t>
            </w:r>
          </w:p>
        </w:tc>
      </w:tr>
      <w:tr>
        <w:trPr>
          <w:trHeight w:val="90"/>
        </w:trPr>
        <w:tc>
          <w:tcPr>
            <w:tcW w:w="1418" w:type="dxa"/>
            <w:gridSpan w:val="2"/>
            <w:vMerge/>
            <w:noWrap/>
            <w:vAlign w:val="center"/>
          </w:tcPr>
          <w:p/>
        </w:tc>
        <w:tc>
          <w:tcPr>
            <w:tcW w:w="895" w:type="dxa"/>
            <w:vMerge/>
            <w:tcBorders>
              <w:top w:val="single" w:sz="4" w:space="0" w:color="auto"/>
              <w:bottom w:val="single" w:sz="4" w:space="0" w:color="auto"/>
            </w:tcBorders>
            <w:noWrap/>
            <w:vAlign w:val="center"/>
          </w:tcPr>
          <w:p/>
        </w:tc>
        <w:tc>
          <w:tcPr>
            <w:tcW w:w="1236" w:type="dxa"/>
            <w:gridSpan w:val="2"/>
            <w:tcBorders>
              <w:right w:val="single" w:sz="4" w:space="0" w:color="auto"/>
            </w:tcBorders>
            <w:noWrap/>
            <w:vAlign w:val="center"/>
          </w:tcPr>
          <w:p>
            <w:pPr>
              <w:ind w:left="0" w:firstLineChars="0" w:firstLine="0"/>
              <w:rPr>
                <w:rFonts w:hint="eastAsia"/>
              </w:rPr>
            </w:pPr>
            <w:r>
              <w:rPr>
                <w:rFonts w:ascii="宋体" w:eastAsia="宋体" w:cs="宋体" w:hint="eastAsia"/>
                <w:color w:val="auto"/>
                <w:sz w:val="21"/>
                <w:szCs w:val="21"/>
                <w:lang w:val="zh-CN"/>
                <w:highlight w:val="auto"/>
              </w:rPr>
              <w:t>进度安排（</w:t>
            </w:r>
            <w:r>
              <w:rPr>
                <w:rFonts w:ascii="宋体" w:cs="宋体" w:hint="eastAsia"/>
                <w:color w:val="auto"/>
                <w:sz w:val="21"/>
                <w:szCs w:val="21"/>
                <w:lang w:val="en-US" w:eastAsia="zh-CN"/>
                <w:highlight w:val="auto"/>
              </w:rPr>
              <w:t>5</w:t>
            </w:r>
            <w:r>
              <w:rPr>
                <w:rFonts w:ascii="宋体" w:eastAsia="宋体" w:cs="宋体" w:hint="eastAsia"/>
                <w:color w:val="auto"/>
                <w:sz w:val="21"/>
                <w:szCs w:val="21"/>
                <w:lang w:val="zh-CN"/>
                <w:highlight w:val="auto"/>
              </w:rPr>
              <w:t>分）</w:t>
            </w:r>
          </w:p>
        </w:tc>
        <w:tc>
          <w:tcPr>
            <w:tcW w:w="5949" w:type="dxa"/>
            <w:tcBorders>
              <w:left w:val="single" w:sz="4" w:space="0" w:color="auto"/>
            </w:tcBorders>
            <w:noWrap/>
            <w:vAlign w:val="center"/>
          </w:tcPr>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根据供应商针对本项目提供的进度安排进行评审：</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提供的进度安排符合招标文件要求且具可行性，得</w:t>
            </w:r>
            <w:r>
              <w:rPr>
                <w:rFonts w:ascii="宋体" w:cs="宋体" w:hint="eastAsia"/>
                <w:color w:val="auto"/>
                <w:sz w:val="21"/>
                <w:szCs w:val="21"/>
                <w:lang w:val="en-US" w:eastAsia="zh-CN"/>
                <w:highlight w:val="auto"/>
              </w:rPr>
              <w:t>5</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4</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提供的进度安排基本符合招标文件要求且具有一定可行性，得</w:t>
            </w:r>
            <w:r>
              <w:rPr>
                <w:rFonts w:ascii="宋体" w:cs="宋体" w:hint="eastAsia"/>
                <w:color w:val="auto"/>
                <w:sz w:val="21"/>
                <w:szCs w:val="21"/>
                <w:lang w:val="en-US" w:eastAsia="zh-CN"/>
                <w:highlight w:val="auto"/>
              </w:rPr>
              <w:t>3</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2</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提供的进度安排不符合招标文件要求且可行性较差的，得</w:t>
            </w:r>
            <w:r>
              <w:rPr>
                <w:rFonts w:ascii="宋体" w:eastAsia="宋体" w:cs="宋体" w:hint="eastAsia"/>
                <w:color w:val="auto"/>
                <w:sz w:val="21"/>
                <w:szCs w:val="21"/>
                <w:lang w:val="en-US" w:eastAsia="zh-CN"/>
                <w:highlight w:val="auto"/>
              </w:rPr>
              <w:t>1</w:t>
            </w:r>
            <w:r>
              <w:rPr>
                <w:rFonts w:ascii="宋体" w:eastAsia="宋体" w:cs="宋体" w:hint="eastAsia"/>
                <w:color w:val="auto"/>
                <w:sz w:val="21"/>
                <w:szCs w:val="21"/>
                <w:lang w:val="zh-CN"/>
                <w:highlight w:val="auto"/>
              </w:rPr>
              <w:t>分；</w:t>
            </w:r>
          </w:p>
          <w:p>
            <w:pPr>
              <w:ind w:firstLineChars="200" w:firstLine="420"/>
              <w:rPr>
                <w:rFonts w:hint="eastAsia"/>
              </w:rPr>
            </w:pPr>
            <w:r>
              <w:rPr>
                <w:rFonts w:ascii="宋体" w:eastAsia="宋体" w:cs="宋体" w:hint="eastAsia"/>
                <w:color w:val="auto"/>
                <w:sz w:val="21"/>
                <w:szCs w:val="21"/>
                <w:lang w:val="zh-CN"/>
                <w:highlight w:val="auto"/>
              </w:rPr>
              <w:t>未提供进度安排的不得分。</w:t>
            </w:r>
          </w:p>
        </w:tc>
      </w:tr>
      <w:tr>
        <w:trPr>
          <w:trHeight w:val="90"/>
        </w:trPr>
        <w:tc>
          <w:tcPr>
            <w:tcW w:w="1418" w:type="dxa"/>
            <w:gridSpan w:val="2"/>
            <w:vMerge/>
            <w:tcBorders>
              <w:bottom w:val="single" w:sz="4" w:space="0" w:color="auto"/>
            </w:tcBorders>
            <w:noWrap/>
            <w:vAlign w:val="center"/>
          </w:tcPr>
          <w:p/>
        </w:tc>
        <w:tc>
          <w:tcPr>
            <w:tcW w:w="895" w:type="dxa"/>
            <w:vMerge/>
            <w:tcBorders>
              <w:top w:val="single" w:sz="4" w:space="0" w:color="auto"/>
              <w:bottom w:val="single" w:sz="4" w:space="0" w:color="auto"/>
            </w:tcBorders>
            <w:noWrap/>
            <w:vAlign w:val="center"/>
          </w:tcPr>
          <w:p/>
        </w:tc>
        <w:tc>
          <w:tcPr>
            <w:tcW w:w="1236" w:type="dxa"/>
            <w:gridSpan w:val="2"/>
            <w:tcBorders>
              <w:right w:val="single" w:sz="4" w:space="0" w:color="auto"/>
            </w:tcBorders>
            <w:noWrap/>
            <w:vAlign w:val="center"/>
          </w:tcPr>
          <w:p>
            <w:pPr>
              <w:ind w:left="0" w:firstLineChars="0" w:firstLine="0"/>
              <w:rPr>
                <w:rFonts w:hint="eastAsia"/>
              </w:rPr>
            </w:pP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w:t>
            </w:r>
            <w:r>
              <w:rPr>
                <w:rFonts w:ascii="宋体" w:cs="宋体" w:hint="eastAsia"/>
                <w:color w:val="auto"/>
                <w:sz w:val="21"/>
                <w:szCs w:val="21"/>
                <w:lang w:val="en-US" w:eastAsia="zh-CN"/>
                <w:highlight w:val="auto"/>
              </w:rPr>
              <w:t>10</w:t>
            </w:r>
            <w:r>
              <w:rPr>
                <w:rFonts w:ascii="宋体" w:eastAsia="宋体" w:cs="宋体" w:hint="eastAsia"/>
                <w:color w:val="auto"/>
                <w:sz w:val="21"/>
                <w:szCs w:val="21"/>
                <w:lang w:val="zh-CN"/>
                <w:highlight w:val="auto"/>
              </w:rPr>
              <w:t>分）</w:t>
            </w:r>
          </w:p>
        </w:tc>
        <w:tc>
          <w:tcPr>
            <w:tcW w:w="5949" w:type="dxa"/>
            <w:tcBorders>
              <w:left w:val="single" w:sz="4" w:space="0" w:color="auto"/>
            </w:tcBorders>
            <w:noWrap/>
            <w:vAlign w:val="center"/>
          </w:tcPr>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根据供应商针对本项目的技术要求编制</w:t>
            </w: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w:t>
            </w: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方案内容全面详细、相关措施科学适用、合理、可操作性强、符合本项目实际、完全满足本项目需求，得</w:t>
            </w:r>
            <w:r>
              <w:rPr>
                <w:rFonts w:ascii="宋体" w:cs="宋体" w:hint="eastAsia"/>
                <w:color w:val="auto"/>
                <w:sz w:val="21"/>
                <w:szCs w:val="21"/>
                <w:lang w:val="en-US" w:eastAsia="zh-CN"/>
                <w:highlight w:val="auto"/>
              </w:rPr>
              <w:t>10</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8</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w:t>
            </w: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方案内容较全面、相关措施较科学适用、较合理、可操作性较强、较符合本项目实际、基本满足本项目需求，得</w:t>
            </w:r>
            <w:r>
              <w:rPr>
                <w:rFonts w:ascii="宋体" w:cs="宋体" w:hint="eastAsia"/>
                <w:color w:val="auto"/>
                <w:sz w:val="21"/>
                <w:szCs w:val="21"/>
                <w:lang w:val="en-US" w:eastAsia="zh-CN"/>
                <w:highlight w:val="auto"/>
              </w:rPr>
              <w:t>7</w:t>
            </w:r>
            <w:r>
              <w:rPr>
                <w:rFonts w:ascii="宋体" w:eastAsia="宋体" w:cs="宋体" w:hint="eastAsia"/>
                <w:color w:val="auto"/>
                <w:sz w:val="21"/>
                <w:szCs w:val="21"/>
                <w:lang w:val="en-US" w:eastAsia="zh-CN"/>
                <w:highlight w:val="auto"/>
              </w:rPr>
              <w:t>-</w:t>
            </w:r>
            <w:r>
              <w:rPr>
                <w:rFonts w:ascii="宋体" w:cs="宋体" w:hint="eastAsia"/>
                <w:color w:val="auto"/>
                <w:sz w:val="21"/>
                <w:szCs w:val="21"/>
                <w:lang w:val="en-US" w:eastAsia="zh-CN"/>
                <w:highlight w:val="auto"/>
              </w:rPr>
              <w:t>4</w:t>
            </w:r>
            <w:r>
              <w:rPr>
                <w:rFonts w:ascii="宋体" w:eastAsia="宋体" w:cs="宋体" w:hint="eastAsia"/>
                <w:color w:val="auto"/>
                <w:sz w:val="21"/>
                <w:szCs w:val="21"/>
                <w:lang w:val="zh-CN"/>
                <w:highlight w:val="auto"/>
              </w:rPr>
              <w:t>分。</w:t>
            </w:r>
          </w:p>
          <w:p>
            <w:pPr>
              <w:rPr>
                <w:rFonts w:ascii="宋体" w:eastAsia="宋体" w:cs="宋体" w:hint="eastAsia"/>
                <w:color w:val="auto"/>
                <w:sz w:val="21"/>
                <w:szCs w:val="21"/>
                <w:lang w:val="zh-CN"/>
                <w:highlight w:val="auto"/>
              </w:rPr>
            </w:pPr>
            <w:r>
              <w:rPr>
                <w:rFonts w:ascii="宋体" w:eastAsia="宋体" w:cs="宋体" w:hint="eastAsia"/>
                <w:color w:val="auto"/>
                <w:sz w:val="21"/>
                <w:szCs w:val="21"/>
                <w:lang w:val="zh-CN"/>
                <w:highlight w:val="auto"/>
              </w:rPr>
              <w:t>提供的</w:t>
            </w: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方案内容不全面、相关措施不科学适用、不合理、可操作性不强（需大量修改）、不符合本项目实际、不太能满足本项目需求，得</w:t>
            </w:r>
            <w:r>
              <w:rPr>
                <w:rFonts w:ascii="宋体" w:cs="宋体" w:hint="eastAsia"/>
                <w:color w:val="auto"/>
                <w:sz w:val="21"/>
                <w:szCs w:val="21"/>
                <w:lang w:val="en-US" w:eastAsia="zh-CN"/>
                <w:highlight w:val="auto"/>
              </w:rPr>
              <w:t>3-</w:t>
            </w:r>
            <w:r>
              <w:rPr>
                <w:rFonts w:ascii="宋体" w:eastAsia="宋体" w:cs="宋体" w:hint="eastAsia"/>
                <w:color w:val="auto"/>
                <w:sz w:val="21"/>
                <w:szCs w:val="21"/>
                <w:lang w:val="en-US" w:eastAsia="zh-CN"/>
                <w:highlight w:val="auto"/>
              </w:rPr>
              <w:t>1</w:t>
            </w:r>
            <w:r>
              <w:rPr>
                <w:rFonts w:ascii="宋体" w:eastAsia="宋体" w:cs="宋体" w:hint="eastAsia"/>
                <w:color w:val="auto"/>
                <w:sz w:val="21"/>
                <w:szCs w:val="21"/>
                <w:lang w:val="zh-CN"/>
                <w:highlight w:val="auto"/>
              </w:rPr>
              <w:t>分。</w:t>
            </w:r>
          </w:p>
          <w:p>
            <w:pPr>
              <w:ind w:firstLineChars="200" w:firstLine="420"/>
              <w:rPr>
                <w:rFonts w:hint="eastAsia"/>
              </w:rPr>
            </w:pPr>
            <w:r>
              <w:rPr>
                <w:rFonts w:ascii="宋体" w:eastAsia="宋体" w:cs="宋体" w:hint="eastAsia"/>
                <w:color w:val="auto"/>
                <w:sz w:val="21"/>
                <w:szCs w:val="21"/>
                <w:lang w:val="zh-CN"/>
                <w:highlight w:val="auto"/>
              </w:rPr>
              <w:t>未提供</w:t>
            </w:r>
            <w:r>
              <w:rPr>
                <w:rFonts w:ascii="宋体" w:eastAsia="宋体" w:cs="宋体" w:hint="eastAsia"/>
                <w:color w:val="auto"/>
                <w:sz w:val="21"/>
                <w:szCs w:val="21"/>
                <w:lang w:val="en-US" w:eastAsia="zh-CN"/>
                <w:highlight w:val="auto"/>
              </w:rPr>
              <w:t>服务</w:t>
            </w:r>
            <w:r>
              <w:rPr>
                <w:rFonts w:ascii="宋体" w:eastAsia="宋体" w:cs="宋体" w:hint="eastAsia"/>
                <w:color w:val="auto"/>
                <w:sz w:val="21"/>
                <w:szCs w:val="21"/>
                <w:lang w:val="zh-CN"/>
                <w:highlight w:val="auto"/>
              </w:rPr>
              <w:t>方案的不得分。</w:t>
            </w:r>
          </w:p>
        </w:tc>
      </w:tr>
    </w:tbl>
    <w:p>
      <w:r>
        <w:br w:type="page"/>
      </w:r>
    </w:p>
    <w:p>
      <w:pPr>
        <w:pageBreakBefore w:val="0"/>
        <w:widowControl w:val="0"/>
        <w:kinsoku/>
        <w:wordWrap w:val="0"/>
        <w:overflowPunct/>
        <w:topLinePunct w:val="0"/>
        <w:bidi w:val="0"/>
        <w:textAlignment w:val="auto"/>
        <w:rPr>
          <w:rFonts w:ascii="Times New Roman" w:hAnsi="Times New Roman"/>
          <w:b/>
          <w:bCs/>
        </w:rPr>
      </w:pPr>
      <w:bookmarkStart w:id="487" w:name="_Toc287607812"/>
      <w:bookmarkStart w:id="488" w:name="_Toc287620751"/>
      <w:bookmarkStart w:id="489" w:name="_Toc277082618"/>
      <w:bookmarkStart w:id="490" w:name="_Toc473987401"/>
      <w:bookmarkStart w:id="491" w:name="_Toc373528520"/>
      <w:bookmarkStart w:id="492" w:name="_Toc267320057"/>
      <w:r>
        <w:rPr>
          <w:rFonts w:ascii="Times New Roman" w:hAnsi="Times New Roman" w:hint="eastAsia"/>
          <w:b/>
          <w:bCs/>
        </w:rPr>
        <w:t>1.  评标方法</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本次评标采用综合评估法。</w:t>
      </w:r>
      <w:r>
        <w:rPr>
          <w:rFonts w:ascii="Times New Roman" w:hAnsi="Times New Roman" w:hint="eastAsia"/>
          <w:lang w:eastAsia="zh-CN"/>
        </w:rPr>
        <w:t>评审小组</w:t>
      </w:r>
      <w:r>
        <w:rPr>
          <w:rFonts w:ascii="Times New Roman" w:hAnsi="Times New Roman" w:hint="eastAsia"/>
        </w:rPr>
        <w:t>按照本章第2.2款规定的评分标准进行打分，按得分由高到低顺序推荐中标人，</w:t>
      </w:r>
      <w:r>
        <w:rPr>
          <w:rFonts w:ascii="Times New Roman" w:hAnsi="Times New Roman" w:hint="eastAsia"/>
          <w:highlight w:val="auto"/>
        </w:rPr>
        <w:t>或根据招标人授权直接确定中标人，</w:t>
      </w:r>
      <w:r>
        <w:rPr>
          <w:rFonts w:ascii="Times New Roman" w:hAnsi="Times New Roman" w:hint="eastAsia"/>
        </w:rPr>
        <w:t>但投标报价低于其成本的除外。综合评分相等时，以投标报价低的优先；投标报价也相等的，技术部分得分高的优先；技术部分得分相等的，商务部分得分高的优先。</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招标人应当根据本招标项目特点及要求确定中标人。中标候选人放弃中标、因不可抗力不能履行合同，或者被查实存在影响中标结果的违法行为等情形，不符合中标条件的，招标人可以按照</w:t>
      </w:r>
      <w:r>
        <w:rPr>
          <w:rFonts w:ascii="Times New Roman" w:hAnsi="Times New Roman" w:hint="eastAsia"/>
          <w:lang w:eastAsia="zh-CN"/>
        </w:rPr>
        <w:t>评审小组</w:t>
      </w:r>
      <w:r>
        <w:rPr>
          <w:rFonts w:ascii="Times New Roman" w:hAnsi="Times New Roman" w:hint="eastAsia"/>
        </w:rPr>
        <w:t>提出的中标候选人名单排序依次确定其他中标候选人为中标单位，也可以重新招标。</w:t>
      </w:r>
    </w:p>
    <w:p>
      <w:pPr>
        <w:pageBreakBefore w:val="0"/>
        <w:widowControl w:val="0"/>
        <w:kinsoku/>
        <w:wordWrap w:val="0"/>
        <w:overflowPunct/>
        <w:topLinePunct w:val="0"/>
        <w:bidi w:val="0"/>
        <w:textAlignment w:val="auto"/>
        <w:rPr>
          <w:rFonts w:ascii="Times New Roman" w:hAnsi="Times New Roman"/>
          <w:b/>
          <w:bCs/>
        </w:rPr>
      </w:pPr>
      <w:r>
        <w:rPr>
          <w:rFonts w:ascii="Times New Roman" w:hAnsi="Times New Roman" w:hint="eastAsia"/>
          <w:b/>
          <w:bCs/>
        </w:rPr>
        <w:t>2.  评审标准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2.1  初步评审标准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2.1.1形式评审标准：见评标办法前附表。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2.1.2资格评审标准：见评标办法前附表。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2.1.3响应性评审标准：见评标办法前附表。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  分值构成与评分标准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2.2.1分值构成</w:t>
      </w:r>
    </w:p>
    <w:p>
      <w:pPr>
        <w:pageBreakBefore w:val="0"/>
        <w:widowControl w:val="0"/>
        <w:kinsoku/>
        <w:wordWrap w:val="0"/>
        <w:overflowPunct/>
        <w:topLinePunct w:val="0"/>
        <w:bidi w:val="0"/>
        <w:textAlignment w:val="auto"/>
        <w:rPr>
          <w:rFonts w:ascii="Times New Roman" w:hAnsi="Times New Roman" w:hint="eastAsia"/>
        </w:rPr>
      </w:pPr>
      <w:r>
        <w:rPr>
          <w:rFonts w:ascii="Times New Roman" w:eastAsia="宋体" w:hAnsi="Times New Roman" w:hint="eastAsia"/>
          <w:lang w:eastAsia="zh-CN"/>
        </w:rPr>
        <w:t>（</w:t>
      </w:r>
      <w:r>
        <w:rPr>
          <w:rFonts w:ascii="Times New Roman" w:eastAsia="宋体" w:hAnsi="Times New Roman" w:hint="eastAsia"/>
          <w:lang w:val="en-US" w:eastAsia="zh-CN"/>
        </w:rPr>
        <w:t>1</w:t>
      </w:r>
      <w:r>
        <w:rPr>
          <w:rFonts w:ascii="Times New Roman" w:eastAsia="宋体" w:hAnsi="Times New Roman" w:hint="eastAsia"/>
          <w:lang w:eastAsia="zh-CN"/>
        </w:rPr>
        <w:t>）</w:t>
      </w:r>
      <w:r>
        <w:rPr>
          <w:rFonts w:ascii="Times New Roman" w:eastAsia="宋体" w:hAnsi="Times New Roman" w:hint="eastAsia"/>
          <w:lang w:val="en-US" w:eastAsia="zh-CN"/>
        </w:rPr>
        <w:t>投标报价</w:t>
      </w:r>
      <w:r>
        <w:rPr>
          <w:rFonts w:ascii="Times New Roman" w:eastAsia="宋体" w:hAnsi="Times New Roman" w:hint="eastAsia"/>
        </w:rPr>
        <w:t>：</w:t>
      </w:r>
      <w:r>
        <w:rPr>
          <w:rFonts w:ascii="Times New Roman" w:hAnsi="Times New Roman" w:hint="eastAsia"/>
        </w:rPr>
        <w:t>见评标办法前附表；</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（2）商务部分：见评标办法前附表；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（3）技术部分：见评标办法前附表。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2.2.2  评标基准价计算</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评标基准价计算方法：见评标办法前附表。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2.2.3评分标准</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（1）报价部分评分标准：见评标办法前附表；</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（2）商务部分评分标准：见评标办法前附表；</w:t>
      </w:r>
    </w:p>
    <w:p>
      <w:pPr>
        <w:pageBreakBefore w:val="0"/>
        <w:widowControl w:val="0"/>
        <w:kinsoku/>
        <w:wordWrap w:val="0"/>
        <w:overflowPunct/>
        <w:topLinePunct w:val="0"/>
        <w:bidi w:val="0"/>
        <w:textAlignment w:val="auto"/>
        <w:rPr>
          <w:rFonts w:ascii="Times New Roman" w:hAnsi="Times New Roman"/>
        </w:rPr>
      </w:pPr>
      <w:bookmarkStart w:id="493" w:name="pbbf_zh02"/>
      <w:r>
        <w:rPr>
          <w:rFonts w:ascii="Times New Roman" w:hAnsi="Times New Roman" w:hint="eastAsia"/>
        </w:rPr>
        <w:t>（3）技术部分评分标准：见评标办法前附表；</w:t>
      </w:r>
    </w:p>
    <w:p>
      <w:pPr>
        <w:pageBreakBefore w:val="0"/>
        <w:widowControl w:val="0"/>
        <w:kinsoku/>
        <w:wordWrap w:val="0"/>
        <w:overflowPunct/>
        <w:topLinePunct w:val="0"/>
        <w:bidi w:val="0"/>
        <w:textAlignment w:val="auto"/>
        <w:rPr>
          <w:rFonts w:ascii="Times New Roman" w:hAnsi="Times New Roman"/>
          <w:b/>
          <w:bCs/>
        </w:rPr>
      </w:pPr>
      <w:bookmarkEnd w:id="493"/>
      <w:r>
        <w:rPr>
          <w:rFonts w:ascii="Times New Roman" w:hAnsi="Times New Roman" w:hint="eastAsia"/>
          <w:b/>
          <w:bCs/>
        </w:rPr>
        <w:t>3.  评标程序</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3.1  初步评审</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3.1.1</w:t>
      </w:r>
      <w:r>
        <w:rPr>
          <w:rFonts w:ascii="Times New Roman" w:hAnsi="Times New Roman" w:hint="eastAsia"/>
          <w:lang w:eastAsia="zh-CN"/>
        </w:rPr>
        <w:t>评审小组</w:t>
      </w:r>
      <w:r>
        <w:rPr>
          <w:rFonts w:ascii="Times New Roman" w:hAnsi="Times New Roman" w:hint="eastAsia"/>
        </w:rPr>
        <w:t>要求投标人必须提交的本次采购招标规定提供的资料均需提供，以便核验。</w:t>
      </w:r>
      <w:r>
        <w:rPr>
          <w:rFonts w:ascii="Times New Roman" w:hAnsi="Times New Roman" w:hint="eastAsia"/>
          <w:lang w:eastAsia="zh-CN"/>
        </w:rPr>
        <w:t>评审小组</w:t>
      </w:r>
      <w:r>
        <w:rPr>
          <w:rFonts w:ascii="Times New Roman" w:hAnsi="Times New Roman" w:hint="eastAsia"/>
        </w:rPr>
        <w:t>依据本章第 2.1 款规定的标准对投标文件进行初步评审。有一项不符合评审标准的，作否决投标处理。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3.1.2投标人有以下情形之一的，其投标作否决投标处理：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（1）串通投标或弄虚作假或有其他违法行为的；</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（2）不按</w:t>
      </w:r>
      <w:r>
        <w:rPr>
          <w:rFonts w:ascii="Times New Roman" w:hAnsi="Times New Roman" w:hint="eastAsia"/>
          <w:lang w:eastAsia="zh-CN"/>
        </w:rPr>
        <w:t>评审小组</w:t>
      </w:r>
      <w:r>
        <w:rPr>
          <w:rFonts w:ascii="Times New Roman" w:hAnsi="Times New Roman" w:hint="eastAsia"/>
        </w:rPr>
        <w:t>要求澄清、说明或补正的。</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（3）本标书约定的其它情形。</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3.1.3投标报价有算术错误的，</w:t>
      </w:r>
      <w:r>
        <w:rPr>
          <w:rFonts w:ascii="Times New Roman" w:hAnsi="Times New Roman" w:hint="eastAsia"/>
          <w:lang w:eastAsia="zh-CN"/>
        </w:rPr>
        <w:t>评审小组</w:t>
      </w:r>
      <w:r>
        <w:rPr>
          <w:rFonts w:ascii="Times New Roman" w:hAnsi="Times New Roman" w:hint="eastAsia"/>
        </w:rPr>
        <w:t>按以下原则对投标报价进行修正，修正的价格经投标人书面确认后具有约束力。投标人不接受修正价格的，其投标作否决投标处理。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（1）投标文件中的大写金额与小写金额不一致的，以大写金额为准；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（2）总价金额与依据单价计算出的结果不一致的，以单价金额为准修正总价，但单价金额小数点有明显错误的除外。</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  详细评审</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3.2.1</w:t>
      </w:r>
      <w:r>
        <w:rPr>
          <w:rFonts w:ascii="Times New Roman" w:hAnsi="Times New Roman" w:hint="eastAsia"/>
          <w:lang w:eastAsia="zh-CN"/>
        </w:rPr>
        <w:t>评审小组</w:t>
      </w:r>
      <w:r>
        <w:rPr>
          <w:rFonts w:ascii="Times New Roman" w:hAnsi="Times New Roman" w:hint="eastAsia"/>
        </w:rPr>
        <w:t>按本章第2.2款规定的量化因素和分值进行打分，并计算出综合得分。</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按本章第2.2.3（1）目规定的评审因素和分值对投标价格计算出得分A。</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（2）按本章第2.2.3（2）目规定的评审因素和分值对商务部分计算出得分B。</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（3）按本章第2.2.3（3）目规定的评审因素和分值对技术部分计算出得分C（取各评标专家评分的平均值作为最终得分）。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3.2.2  评分分值计算保留小数点后两位，小数点后第三位“四舍五入”。</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3.2.3投标人得分= A+B+C。</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3.2.4</w:t>
      </w:r>
      <w:r>
        <w:rPr>
          <w:rFonts w:ascii="Times New Roman" w:hAnsi="Times New Roman" w:hint="eastAsia"/>
          <w:lang w:eastAsia="zh-CN"/>
        </w:rPr>
        <w:t>评审小组</w:t>
      </w:r>
      <w:r>
        <w:rPr>
          <w:rFonts w:ascii="Times New Roman" w:hAnsi="Times New Roman" w:hint="eastAsia"/>
        </w:rPr>
        <w:t>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w:t>
      </w:r>
      <w:r>
        <w:rPr>
          <w:rFonts w:ascii="Times New Roman" w:hAnsi="Times New Roman" w:hint="eastAsia"/>
          <w:lang w:eastAsia="zh-CN"/>
        </w:rPr>
        <w:t>评审小组</w:t>
      </w:r>
      <w:r>
        <w:rPr>
          <w:rFonts w:ascii="Times New Roman" w:hAnsi="Times New Roman" w:hint="eastAsia"/>
        </w:rPr>
        <w:t>认定该投标人以低于成本报价竞标，其投标作否决投标处理。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3.3  投标文件的澄清和补正</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3.3.1在评标过程中，</w:t>
      </w:r>
      <w:r>
        <w:rPr>
          <w:rFonts w:ascii="Times New Roman" w:hAnsi="Times New Roman" w:hint="eastAsia"/>
          <w:lang w:eastAsia="zh-CN"/>
        </w:rPr>
        <w:t>评审小组</w:t>
      </w:r>
      <w:r>
        <w:rPr>
          <w:rFonts w:ascii="Times New Roman" w:hAnsi="Times New Roman" w:hint="eastAsia"/>
        </w:rPr>
        <w:t>可以书面形式要求投标人对所提交投标文件中不明确的内容进行书面澄清或说明，或者对细微偏差进行补正。</w:t>
      </w:r>
      <w:r>
        <w:rPr>
          <w:rFonts w:ascii="Times New Roman" w:hAnsi="Times New Roman" w:hint="eastAsia"/>
          <w:lang w:eastAsia="zh-CN"/>
        </w:rPr>
        <w:t>评审小组</w:t>
      </w:r>
      <w:r>
        <w:rPr>
          <w:rFonts w:ascii="Times New Roman" w:hAnsi="Times New Roman" w:hint="eastAsia"/>
        </w:rPr>
        <w:t>不接受投标人主动提出的澄清、说明或补正。</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3.3.2澄清、说明和补正不得改变投标文件的实质性内容（算术性错误修正的除外）。投标人的书面澄清、说明和补正属于投标文件的组成部分。</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3.3.3</w:t>
      </w:r>
      <w:r>
        <w:rPr>
          <w:rFonts w:ascii="Times New Roman" w:hAnsi="Times New Roman" w:hint="eastAsia"/>
          <w:lang w:eastAsia="zh-CN"/>
        </w:rPr>
        <w:t>评审小组</w:t>
      </w:r>
      <w:r>
        <w:rPr>
          <w:rFonts w:ascii="Times New Roman" w:hAnsi="Times New Roman" w:hint="eastAsia"/>
        </w:rPr>
        <w:t>对投标人提交的澄清、说明或补正有疑问的，可以要求投标人进一步澄清、说明或补正，直至满足</w:t>
      </w:r>
      <w:r>
        <w:rPr>
          <w:rFonts w:ascii="Times New Roman" w:hAnsi="Times New Roman" w:hint="eastAsia"/>
          <w:lang w:eastAsia="zh-CN"/>
        </w:rPr>
        <w:t>评审小组</w:t>
      </w:r>
      <w:r>
        <w:rPr>
          <w:rFonts w:ascii="Times New Roman" w:hAnsi="Times New Roman" w:hint="eastAsia"/>
        </w:rPr>
        <w:t>的要求。</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3.4  评标结果</w:t>
      </w:r>
    </w:p>
    <w:p>
      <w:pPr>
        <w:pageBreakBefore w:val="0"/>
        <w:widowControl w:val="0"/>
        <w:kinsoku/>
        <w:wordWrap w:val="0"/>
        <w:overflowPunct/>
        <w:topLinePunct w:val="0"/>
        <w:bidi w:val="0"/>
        <w:textAlignment w:val="auto"/>
        <w:rPr>
          <w:rFonts w:ascii="Times New Roman" w:hAnsi="Times New Roman"/>
        </w:rPr>
      </w:pPr>
      <w:r>
        <w:rPr>
          <w:rFonts w:ascii="Times New Roman" w:hAnsi="Times New Roman" w:hint="eastAsia"/>
        </w:rPr>
        <w:t>3.4.1 除第二章“投标人须知”前附表授权直接确定中标人外，</w:t>
      </w:r>
      <w:r>
        <w:rPr>
          <w:rFonts w:ascii="Times New Roman" w:hAnsi="Times New Roman" w:hint="eastAsia"/>
          <w:lang w:eastAsia="zh-CN"/>
        </w:rPr>
        <w:t>评审小组</w:t>
      </w:r>
      <w:r>
        <w:rPr>
          <w:rFonts w:ascii="Times New Roman" w:hAnsi="Times New Roman" w:hint="eastAsia"/>
        </w:rPr>
        <w:t>按照得分由高到低的顺序推荐中标候选人。</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 xml:space="preserve">3.4.2 </w:t>
      </w:r>
      <w:r>
        <w:rPr>
          <w:rFonts w:ascii="Times New Roman" w:hAnsi="Times New Roman" w:hint="eastAsia"/>
          <w:lang w:eastAsia="zh-CN"/>
        </w:rPr>
        <w:t>评审小组</w:t>
      </w:r>
      <w:r>
        <w:rPr>
          <w:rFonts w:ascii="Times New Roman" w:hAnsi="Times New Roman" w:hint="eastAsia"/>
        </w:rPr>
        <w:t>完成评标后，应当向招标人提交书面评标报告。</w:t>
      </w:r>
      <w:bookmarkEnd w:id="487"/>
      <w:bookmarkEnd w:id="488"/>
      <w:bookmarkEnd w:id="489"/>
      <w:bookmarkEnd w:id="490"/>
    </w:p>
    <w:p>
      <w:pPr>
        <w:rPr>
          <w:rFonts w:ascii="Times New Roman" w:hAnsi="Times New Roman" w:hint="eastAsia"/>
        </w:rPr>
      </w:pPr>
      <w:r>
        <w:rPr>
          <w:rFonts w:ascii="Times New Roman" w:hAnsi="Times New Roman" w:hint="eastAsia"/>
        </w:rPr>
        <w:br w:type="page"/>
      </w:r>
    </w:p>
    <w:p>
      <w:pPr>
        <w:pageBreakBefore/>
        <w:widowControl w:val="0"/>
        <w:autoSpaceDE w:val="0"/>
        <w:autoSpaceDN w:val="0"/>
        <w:adjustRightInd w:val="0"/>
        <w:snapToGrid w:val="0"/>
        <w:spacing w:line="360" w:lineRule="auto"/>
        <w:jc w:val="left"/>
        <w:rPr>
          <w:rFonts w:ascii="宋体" w:cs="宋体"/>
          <w:color w:val="auto"/>
          <w:kern w:val="0"/>
          <w:highlight w:val="auto"/>
        </w:rPr>
      </w:pPr>
      <w:r>
        <w:rPr>
          <w:rFonts w:ascii="宋体" w:cs="宋体" w:hint="eastAsia"/>
          <w:color w:val="auto"/>
          <w:kern w:val="0"/>
          <w:highlight w:val="auto"/>
        </w:rPr>
        <w:t>附件A：否决投标条件</w:t>
      </w:r>
    </w:p>
    <w:p>
      <w:pPr>
        <w:pStyle w:val="24"/>
        <w:adjustRightInd w:val="0"/>
        <w:snapToGrid w:val="0"/>
        <w:spacing w:line="360" w:lineRule="auto"/>
        <w:ind w:left="0" w:firstLineChars="0" w:firstLine="0"/>
        <w:jc w:val="center"/>
        <w:rPr>
          <w:rFonts w:ascii="宋体" w:cs="宋体"/>
          <w:color w:val="auto"/>
          <w:sz w:val="21"/>
          <w:szCs w:val="21"/>
          <w:lang w:eastAsia="zh-CN"/>
          <w:highlight w:val="auto"/>
        </w:rPr>
      </w:pPr>
      <w:bookmarkStart w:id="494" w:name="招标文件03章02评标办法综合评估法02附件02"/>
      <w:bookmarkStart w:id="495" w:name="招标文件04章合同条款及格式"/>
      <w:bookmarkStart w:id="496" w:name="_Toc230410480"/>
      <w:bookmarkEnd w:id="494"/>
      <w:bookmarkEnd w:id="495"/>
      <w:r>
        <w:rPr>
          <w:rFonts w:ascii="宋体" w:cs="宋体" w:hint="eastAsia"/>
          <w:color w:val="auto"/>
          <w:sz w:val="21"/>
          <w:szCs w:val="21"/>
          <w:lang w:eastAsia="zh-CN"/>
          <w:highlight w:val="auto"/>
        </w:rPr>
        <w:t>否决投标情况一览表</w:t>
      </w:r>
      <w:bookmarkEnd w:id="496"/>
    </w:p>
    <w:p>
      <w:pPr>
        <w:pStyle w:val="24"/>
        <w:adjustRightInd w:val="0"/>
        <w:snapToGrid w:val="0"/>
        <w:spacing w:line="360" w:lineRule="auto"/>
        <w:jc w:val="both"/>
        <w:rPr>
          <w:rFonts w:ascii="宋体" w:cs="宋体"/>
          <w:b/>
          <w:bCs/>
          <w:color w:val="auto"/>
          <w:sz w:val="21"/>
          <w:szCs w:val="21"/>
          <w:u w:val="none"/>
          <w:lang w:eastAsia="zh-CN"/>
          <w:highlight w:val="auto"/>
        </w:rPr>
      </w:pPr>
      <w:r>
        <w:rPr>
          <w:rFonts w:ascii="宋体" w:cs="宋体" w:hint="eastAsia"/>
          <w:b/>
          <w:bCs/>
          <w:color w:val="auto"/>
          <w:sz w:val="21"/>
          <w:szCs w:val="21"/>
          <w:u w:val="none"/>
          <w:lang w:eastAsia="zh-CN"/>
          <w:highlight w:val="auto"/>
        </w:rPr>
        <w:t>一览表否决投标条件之外的评审小组不得判为重大偏差。</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427"/>
        <w:gridCol w:w="1233"/>
        <w:gridCol w:w="6583"/>
      </w:tblGrid>
      <w:tr>
        <w:tc>
          <w:tcPr>
            <w:tcW w:w="1427" w:type="dxa"/>
            <w:noWrap/>
            <w:vAlign w:val="center"/>
          </w:tcPr>
          <w:p>
            <w:pPr>
              <w:pStyle w:val="30"/>
              <w:bidi w:val="0"/>
              <w:jc w:val="center"/>
              <w:rPr>
                <w:b/>
                <w:bCs/>
              </w:rPr>
            </w:pPr>
            <w:r>
              <w:rPr>
                <w:rFonts w:hint="eastAsia"/>
                <w:b/>
                <w:bCs/>
              </w:rPr>
              <w:t>招标文件章节号</w:t>
            </w:r>
          </w:p>
        </w:tc>
        <w:tc>
          <w:tcPr>
            <w:tcW w:w="1233" w:type="dxa"/>
            <w:noWrap/>
            <w:vAlign w:val="center"/>
          </w:tcPr>
          <w:p>
            <w:pPr>
              <w:pStyle w:val="30"/>
              <w:bidi w:val="0"/>
              <w:jc w:val="center"/>
              <w:rPr>
                <w:b/>
                <w:bCs/>
              </w:rPr>
            </w:pPr>
            <w:r>
              <w:rPr>
                <w:rFonts w:hint="eastAsia"/>
                <w:b/>
                <w:bCs/>
              </w:rPr>
              <w:t>条款名称</w:t>
            </w:r>
          </w:p>
        </w:tc>
        <w:tc>
          <w:tcPr>
            <w:tcW w:w="6583" w:type="dxa"/>
            <w:noWrap/>
            <w:vAlign w:val="center"/>
          </w:tcPr>
          <w:p>
            <w:pPr>
              <w:pStyle w:val="30"/>
              <w:bidi w:val="0"/>
              <w:jc w:val="center"/>
              <w:rPr>
                <w:b/>
                <w:bCs/>
              </w:rPr>
            </w:pPr>
            <w:r>
              <w:rPr>
                <w:rFonts w:hint="eastAsia"/>
                <w:b/>
                <w:bCs/>
              </w:rPr>
              <w:t>否决投标条件</w:t>
            </w:r>
          </w:p>
        </w:tc>
      </w:tr>
      <w:tr>
        <w:trPr>
          <w:trHeight w:val="625"/>
        </w:trPr>
        <w:tc>
          <w:tcPr>
            <w:tcW w:w="1427" w:type="dxa"/>
            <w:noWrap/>
            <w:vAlign w:val="center"/>
          </w:tcPr>
          <w:p>
            <w:pPr>
              <w:pStyle w:val="30"/>
              <w:bidi w:val="0"/>
              <w:jc w:val="center"/>
            </w:pPr>
            <w:r>
              <w:rPr>
                <w:rFonts w:hint="eastAsia"/>
              </w:rPr>
              <w:t>第二章3.2</w:t>
            </w:r>
          </w:p>
        </w:tc>
        <w:tc>
          <w:tcPr>
            <w:tcW w:w="1233" w:type="dxa"/>
            <w:noWrap/>
            <w:vAlign w:val="center"/>
          </w:tcPr>
          <w:p>
            <w:pPr>
              <w:pStyle w:val="30"/>
              <w:bidi w:val="0"/>
              <w:jc w:val="center"/>
            </w:pPr>
            <w:r>
              <w:rPr>
                <w:rFonts w:hint="eastAsia"/>
              </w:rPr>
              <w:t>投标报价</w:t>
            </w:r>
          </w:p>
        </w:tc>
        <w:tc>
          <w:tcPr>
            <w:tcW w:w="6583" w:type="dxa"/>
            <w:noWrap/>
          </w:tcPr>
          <w:p>
            <w:pPr>
              <w:pStyle w:val="30"/>
              <w:pageBreakBefore w:val="0"/>
              <w:widowControl w:val="0"/>
              <w:kinsoku/>
              <w:wordWrap w:val="0"/>
              <w:overflowPunct/>
              <w:topLinePunct w:val="0"/>
              <w:bidi w:val="0"/>
              <w:textAlignment w:val="auto"/>
              <w:rPr>
                <w:rFonts w:hint="eastAsia"/>
              </w:rPr>
            </w:pPr>
            <w:r>
              <w:rPr>
                <w:rFonts w:hint="eastAsia"/>
              </w:rPr>
              <w:t>1.投标报价限价</w:t>
            </w:r>
          </w:p>
          <w:p>
            <w:pPr>
              <w:pStyle w:val="30"/>
              <w:pageBreakBefore w:val="0"/>
              <w:widowControl w:val="0"/>
              <w:kinsoku/>
              <w:wordWrap w:val="0"/>
              <w:overflowPunct/>
              <w:topLinePunct w:val="0"/>
              <w:bidi w:val="0"/>
              <w:textAlignment w:val="auto"/>
            </w:pPr>
            <w:r>
              <w:rPr>
                <w:rFonts w:hint="eastAsia"/>
              </w:rPr>
              <w:t>（1）本项目总价最高限价大写：【</w:t>
            </w:r>
            <w:r>
              <w:rPr>
                <w:rFonts w:hint="eastAsia"/>
                <w:lang w:val="en-US" w:eastAsia="zh-CN"/>
              </w:rPr>
              <w:t>壹拾肆万肆仟叁佰</w:t>
            </w:r>
            <w:r>
              <w:rPr>
                <w:rFonts w:hint="eastAsia"/>
              </w:rPr>
              <w:t>元整】（小写：【</w:t>
            </w:r>
            <w:r>
              <w:rPr>
                <w:rFonts w:hint="eastAsia"/>
                <w:lang w:val="en-US" w:eastAsia="zh-CN"/>
              </w:rPr>
              <w:t>144300</w:t>
            </w:r>
            <w:r>
              <w:rPr>
                <w:rFonts w:hint="eastAsia"/>
              </w:rPr>
              <w:t>.00元】）。</w:t>
            </w:r>
          </w:p>
          <w:p>
            <w:pPr>
              <w:pStyle w:val="30"/>
              <w:pageBreakBefore w:val="0"/>
              <w:widowControl w:val="0"/>
              <w:kinsoku/>
              <w:wordWrap w:val="0"/>
              <w:overflowPunct/>
              <w:topLinePunct w:val="0"/>
              <w:bidi w:val="0"/>
              <w:textAlignment w:val="auto"/>
              <w:rPr>
                <w:rFonts w:hint="eastAsia"/>
              </w:rPr>
            </w:pPr>
            <w:r>
              <w:rPr>
                <w:rFonts w:hint="eastAsia"/>
              </w:rPr>
              <w:t>投标人报价不得超过最高限价，否则其投标文件将被否决。</w:t>
            </w:r>
          </w:p>
          <w:p>
            <w:pPr>
              <w:pStyle w:val="30"/>
              <w:pageBreakBefore w:val="0"/>
              <w:widowControl w:val="0"/>
              <w:kinsoku/>
              <w:wordWrap w:val="0"/>
              <w:overflowPunct/>
              <w:topLinePunct w:val="0"/>
              <w:bidi w:val="0"/>
              <w:textAlignment w:val="auto"/>
              <w:rPr>
                <w:rFonts w:hint="eastAsia"/>
              </w:rPr>
            </w:pPr>
            <w:r>
              <w:rPr>
                <w:rFonts w:hint="eastAsia"/>
              </w:rPr>
              <w:t>2.报价要求。</w:t>
            </w:r>
          </w:p>
          <w:p>
            <w:pPr>
              <w:pStyle w:val="30"/>
              <w:pageBreakBefore w:val="0"/>
              <w:widowControl w:val="0"/>
              <w:kinsoku/>
              <w:wordWrap w:val="0"/>
              <w:overflowPunct/>
              <w:topLinePunct w:val="0"/>
              <w:bidi w:val="0"/>
              <w:textAlignment w:val="auto"/>
              <w:rPr>
                <w:rFonts w:hint="eastAsia"/>
              </w:rPr>
            </w:pPr>
            <w:r>
              <w:rPr>
                <w:rFonts w:hint="eastAsia"/>
              </w:rPr>
              <w:t>投标人的投标报价为含税包干价，其包含完成本招标文件规定的招标范围所有工作内容的全部费用，招标人不再额外支付其他任何费用。因中标人自身原因造成漏报、少报皆由其自行承担责任，招标人不再补偿。</w:t>
            </w:r>
          </w:p>
          <w:p>
            <w:pPr>
              <w:pStyle w:val="30"/>
              <w:bidi w:val="0"/>
              <w:rPr>
                <w:rFonts w:hint="eastAsia"/>
              </w:rPr>
            </w:pPr>
            <w:r>
              <w:rPr>
                <w:rFonts w:hint="eastAsia"/>
              </w:rPr>
              <w:t>3.投标货币：人民币</w:t>
            </w:r>
          </w:p>
        </w:tc>
      </w:tr>
      <w:tr>
        <w:trPr>
          <w:trHeight w:val="1211"/>
        </w:trPr>
        <w:tc>
          <w:tcPr>
            <w:tcW w:w="1427" w:type="dxa"/>
            <w:noWrap/>
            <w:vAlign w:val="center"/>
          </w:tcPr>
          <w:p>
            <w:pPr>
              <w:pStyle w:val="30"/>
              <w:bidi w:val="0"/>
              <w:jc w:val="center"/>
            </w:pPr>
            <w:r>
              <w:rPr>
                <w:rFonts w:hint="eastAsia"/>
              </w:rPr>
              <w:t>第二章3.7.3</w:t>
            </w:r>
          </w:p>
        </w:tc>
        <w:tc>
          <w:tcPr>
            <w:tcW w:w="1233" w:type="dxa"/>
            <w:noWrap/>
            <w:vAlign w:val="center"/>
          </w:tcPr>
          <w:p>
            <w:pPr>
              <w:pStyle w:val="30"/>
              <w:bidi w:val="0"/>
              <w:jc w:val="center"/>
            </w:pPr>
            <w:r>
              <w:rPr>
                <w:rFonts w:hint="eastAsia"/>
              </w:rPr>
              <w:t>签字盖章要求</w:t>
            </w:r>
          </w:p>
        </w:tc>
        <w:tc>
          <w:tcPr>
            <w:tcW w:w="6583" w:type="dxa"/>
            <w:noWrap/>
            <w:vAlign w:val="center"/>
          </w:tcPr>
          <w:p>
            <w:pPr>
              <w:pStyle w:val="30"/>
              <w:bidi w:val="0"/>
            </w:pPr>
            <w:r>
              <w:rPr>
                <w:rFonts w:hint="eastAsia"/>
              </w:rPr>
              <w:t>投标函部分、技术商务部分（资格审查资料）投标资料正本均按招标文件要求加盖投标人单位的公章，副本可为正本的复印件，法定代表人或其委托代理人签字（签章）处按招标文件格式相应位置按其要求签字或签章，投标文件应用不褪色的材料书写或打印。委托代理人签字或签章的，投标文件应附法定代表人签署的授权委托书。投标文件应尽量避免涂改、行间插字或删除。如果出现上述情况，改动之处应加盖单位公章或由投标人的法定代表人或其授权的代理人签字（签章）确认。</w:t>
            </w:r>
            <w:r>
              <w:rPr>
                <w:rFonts w:hint="eastAsia"/>
                <w:b/>
                <w:bCs/>
              </w:rPr>
              <w:t>投标人不按要求签字盖章的其投标文件将被否决。</w:t>
            </w:r>
          </w:p>
        </w:tc>
      </w:tr>
      <w:tr>
        <w:trPr>
          <w:trHeight w:val="601"/>
        </w:trPr>
        <w:tc>
          <w:tcPr>
            <w:tcW w:w="1427" w:type="dxa"/>
            <w:noWrap/>
            <w:vAlign w:val="center"/>
          </w:tcPr>
          <w:p>
            <w:pPr>
              <w:pStyle w:val="30"/>
              <w:bidi w:val="0"/>
              <w:jc w:val="center"/>
              <w:rPr>
                <w:rFonts w:eastAsia="宋体" w:hint="eastAsia"/>
                <w:lang w:eastAsia="zh-CN"/>
              </w:rPr>
            </w:pPr>
            <w:r>
              <w:rPr>
                <w:rFonts w:hint="eastAsia"/>
              </w:rPr>
              <w:t>第二章</w:t>
            </w:r>
            <w:r>
              <w:rPr>
                <w:rFonts w:ascii="Times New Roman" w:eastAsia="宋体" w:hAnsi="Times New Roman" w:hint="eastAsia"/>
              </w:rPr>
              <w:t>3.7.</w:t>
            </w:r>
            <w:r>
              <w:rPr>
                <w:rFonts w:ascii="Times New Roman" w:eastAsia="宋体" w:hAnsi="Times New Roman" w:hint="eastAsia"/>
                <w:lang w:val="en-US" w:eastAsia="zh-CN"/>
              </w:rPr>
              <w:t>4</w:t>
            </w:r>
          </w:p>
        </w:tc>
        <w:tc>
          <w:tcPr>
            <w:tcW w:w="1233" w:type="dxa"/>
            <w:noWrap/>
            <w:vAlign w:val="center"/>
          </w:tcPr>
          <w:p>
            <w:pPr>
              <w:pStyle w:val="30"/>
              <w:bidi w:val="0"/>
              <w:jc w:val="center"/>
              <w:rPr>
                <w:rFonts w:hint="eastAsia"/>
              </w:rPr>
            </w:pPr>
            <w:r>
              <w:rPr>
                <w:rFonts w:hint="eastAsia"/>
              </w:rPr>
              <w:t>投标文件的份数及装订要求</w:t>
            </w:r>
          </w:p>
        </w:tc>
        <w:tc>
          <w:tcPr>
            <w:tcW w:w="6583" w:type="dxa"/>
            <w:noWrap/>
            <w:vAlign w:val="center"/>
          </w:tcPr>
          <w:p>
            <w:pPr>
              <w:pStyle w:val="30"/>
              <w:bidi w:val="0"/>
              <w:rPr>
                <w:rFonts w:hint="eastAsia"/>
              </w:rPr>
            </w:pPr>
            <w:r>
              <w:rPr>
                <w:rFonts w:hint="eastAsia"/>
              </w:rPr>
              <w:t>投标文件份数：提供正本1份，副本</w:t>
            </w:r>
            <w:r>
              <w:rPr>
                <w:rFonts w:hint="eastAsia"/>
                <w:lang w:val="en-US" w:eastAsia="zh-CN"/>
              </w:rPr>
              <w:t>1</w:t>
            </w:r>
            <w:r>
              <w:rPr>
                <w:rFonts w:hint="eastAsia"/>
              </w:rPr>
              <w:t>份，投标文件应包含完整的全套内容（投标函部分、技术商务部分（资格审查资料）），并装订成册；</w:t>
            </w:r>
          </w:p>
          <w:p>
            <w:pPr>
              <w:pStyle w:val="30"/>
              <w:bidi w:val="0"/>
              <w:rPr>
                <w:rFonts w:hint="eastAsia"/>
                <w:b/>
                <w:bCs/>
              </w:rPr>
            </w:pPr>
            <w:r>
              <w:rPr>
                <w:rFonts w:hint="eastAsia"/>
                <w:b/>
                <w:bCs/>
              </w:rPr>
              <w:t>投标人不按要求提供的其投标文件将被否决。</w:t>
            </w:r>
          </w:p>
          <w:p>
            <w:pPr>
              <w:pStyle w:val="30"/>
              <w:bidi w:val="0"/>
              <w:rPr>
                <w:rFonts w:hint="eastAsia"/>
              </w:rPr>
            </w:pPr>
            <w:r>
              <w:rPr>
                <w:rFonts w:hint="eastAsia"/>
                <w:b/>
                <w:bCs/>
              </w:rPr>
              <w:t>说明：投标单位根据制作的投标文件厚度自行决定装订成册一本或多本，如投标文件需装订成册多本，投标文件封面可以标注分册信息</w:t>
            </w:r>
            <w:r>
              <w:rPr>
                <w:rFonts w:hint="eastAsia"/>
              </w:rPr>
              <w:t>。</w:t>
            </w:r>
          </w:p>
        </w:tc>
      </w:tr>
      <w:tr>
        <w:trPr>
          <w:trHeight w:val="907"/>
        </w:trPr>
        <w:tc>
          <w:tcPr>
            <w:tcW w:w="1427" w:type="dxa"/>
            <w:vMerge w:val="restart"/>
            <w:noWrap/>
            <w:vAlign w:val="center"/>
          </w:tcPr>
          <w:p>
            <w:pPr>
              <w:pStyle w:val="30"/>
              <w:bidi w:val="0"/>
              <w:jc w:val="center"/>
            </w:pPr>
            <w:r>
              <w:rPr>
                <w:rFonts w:hint="eastAsia"/>
              </w:rPr>
              <w:t>第三章3.1</w:t>
            </w:r>
          </w:p>
        </w:tc>
        <w:tc>
          <w:tcPr>
            <w:tcW w:w="1233" w:type="dxa"/>
            <w:vMerge w:val="restart"/>
            <w:noWrap/>
            <w:vAlign w:val="center"/>
          </w:tcPr>
          <w:p>
            <w:pPr>
              <w:pStyle w:val="30"/>
              <w:bidi w:val="0"/>
              <w:jc w:val="center"/>
            </w:pPr>
            <w:r>
              <w:rPr>
                <w:rFonts w:hint="eastAsia"/>
              </w:rPr>
              <w:t>初步评审</w:t>
            </w:r>
          </w:p>
        </w:tc>
        <w:tc>
          <w:tcPr>
            <w:tcW w:w="6583" w:type="dxa"/>
            <w:noWrap/>
          </w:tcPr>
          <w:p>
            <w:pPr>
              <w:pStyle w:val="30"/>
              <w:bidi w:val="0"/>
            </w:pPr>
            <w:r>
              <w:rPr>
                <w:rFonts w:hint="eastAsia"/>
                <w:lang w:eastAsia="zh-CN"/>
              </w:rPr>
              <w:t>评审小组</w:t>
            </w:r>
            <w:r>
              <w:rPr>
                <w:rFonts w:hint="eastAsia"/>
              </w:rPr>
              <w:t>依据本章第 2.1 款规定的标准对投标文件进行初步评审，初步评审的审查顺序为：形式评审、资格评审、响应性评审。有一项不符合评审标准的，作否决投标处理。</w:t>
            </w:r>
          </w:p>
        </w:tc>
      </w:tr>
      <w:tr>
        <w:tc>
          <w:tcPr>
            <w:tcW w:w="1427" w:type="dxa"/>
            <w:vMerge/>
            <w:noWrap/>
          </w:tcPr>
          <w:p/>
        </w:tc>
        <w:tc>
          <w:tcPr>
            <w:tcW w:w="1233" w:type="dxa"/>
            <w:vMerge/>
            <w:noWrap/>
          </w:tcPr>
          <w:p/>
        </w:tc>
        <w:tc>
          <w:tcPr>
            <w:tcW w:w="6583" w:type="dxa"/>
            <w:noWrap/>
          </w:tcPr>
          <w:p>
            <w:pPr>
              <w:pStyle w:val="30"/>
              <w:bidi w:val="0"/>
            </w:pPr>
            <w:r>
              <w:rPr>
                <w:rFonts w:hint="eastAsia"/>
              </w:rPr>
              <w:t>投标人有以下情形之一的，其投标作否决投标处理：</w:t>
            </w:r>
          </w:p>
          <w:p>
            <w:pPr>
              <w:pStyle w:val="30"/>
              <w:bidi w:val="0"/>
            </w:pPr>
            <w:r>
              <w:rPr>
                <w:rFonts w:hint="eastAsia"/>
              </w:rPr>
              <w:t>（1）第二章“投标人须知”第9.2项规定的任何一种情形的；</w:t>
            </w:r>
          </w:p>
          <w:p>
            <w:pPr>
              <w:pStyle w:val="30"/>
              <w:bidi w:val="0"/>
            </w:pPr>
            <w:r>
              <w:rPr>
                <w:rFonts w:hint="eastAsia"/>
              </w:rPr>
              <w:t>（2）串通投标或弄虚作假或有其他违法行为的；</w:t>
            </w:r>
          </w:p>
          <w:p>
            <w:pPr>
              <w:pStyle w:val="30"/>
              <w:bidi w:val="0"/>
            </w:pPr>
            <w:r>
              <w:rPr>
                <w:rFonts w:hint="eastAsia"/>
              </w:rPr>
              <w:t>（3）不按</w:t>
            </w:r>
            <w:r>
              <w:rPr>
                <w:rFonts w:hint="eastAsia"/>
                <w:lang w:eastAsia="zh-CN"/>
              </w:rPr>
              <w:t>评审小组</w:t>
            </w:r>
            <w:r>
              <w:rPr>
                <w:rFonts w:hint="eastAsia"/>
              </w:rPr>
              <w:t>要求澄清、说明或补正的。</w:t>
            </w:r>
          </w:p>
          <w:p>
            <w:pPr>
              <w:pStyle w:val="30"/>
              <w:bidi w:val="0"/>
            </w:pPr>
            <w:r>
              <w:rPr>
                <w:rFonts w:hint="eastAsia"/>
              </w:rPr>
              <w:t>（4）本标书约定的其它情形。</w:t>
            </w:r>
          </w:p>
        </w:tc>
      </w:tr>
      <w:tr>
        <w:tc>
          <w:tcPr>
            <w:tcW w:w="1427" w:type="dxa"/>
            <w:vMerge/>
            <w:noWrap/>
          </w:tcPr>
          <w:p/>
        </w:tc>
        <w:tc>
          <w:tcPr>
            <w:tcW w:w="1233" w:type="dxa"/>
            <w:vMerge/>
            <w:noWrap/>
          </w:tcPr>
          <w:p/>
        </w:tc>
        <w:tc>
          <w:tcPr>
            <w:tcW w:w="6583" w:type="dxa"/>
            <w:noWrap/>
          </w:tcPr>
          <w:p>
            <w:pPr>
              <w:pStyle w:val="30"/>
              <w:bidi w:val="0"/>
              <w:rPr>
                <w:rFonts w:hint="eastAsia"/>
              </w:rPr>
            </w:pPr>
            <w:r>
              <w:rPr>
                <w:rFonts w:hint="eastAsia"/>
              </w:rPr>
              <w:t>投标报价有算术错误的，</w:t>
            </w:r>
            <w:r>
              <w:rPr>
                <w:rFonts w:hint="eastAsia"/>
                <w:lang w:eastAsia="zh-CN"/>
              </w:rPr>
              <w:t>评审小组</w:t>
            </w:r>
            <w:r>
              <w:rPr>
                <w:rFonts w:hint="eastAsia"/>
              </w:rPr>
              <w:t>按以下原则对投标报价进行修正，修正的价格经投标人书面确认后具有约束力。投标人不接受修正价格的，其投标作否决投标处理。</w:t>
            </w:r>
          </w:p>
          <w:p>
            <w:pPr>
              <w:pStyle w:val="30"/>
              <w:bidi w:val="0"/>
            </w:pPr>
            <w:r>
              <w:rPr>
                <w:rFonts w:hint="eastAsia"/>
              </w:rPr>
              <w:t>（1）投标文件中的大写金额与小写金额不一致的，以大写金额为准；</w:t>
            </w:r>
          </w:p>
          <w:p>
            <w:pPr>
              <w:pStyle w:val="30"/>
              <w:bidi w:val="0"/>
              <w:rPr>
                <w:rFonts w:hint="eastAsia"/>
              </w:rPr>
            </w:pPr>
            <w:r>
              <w:rPr>
                <w:rFonts w:hint="eastAsia"/>
              </w:rPr>
              <w:t>（2）总价金额与依据单价计算出的结果不一致的，以单价金额为准修正总价，但单价金额小数点有明显错误的除外。</w:t>
            </w:r>
          </w:p>
        </w:tc>
      </w:tr>
      <w:tr>
        <w:tc>
          <w:tcPr>
            <w:tcW w:w="1427" w:type="dxa"/>
            <w:noWrap/>
            <w:vAlign w:val="center"/>
          </w:tcPr>
          <w:p>
            <w:pPr>
              <w:pStyle w:val="30"/>
              <w:bidi w:val="0"/>
              <w:jc w:val="center"/>
              <w:rPr>
                <w:rFonts w:hint="eastAsia"/>
              </w:rPr>
            </w:pPr>
            <w:r>
              <w:rPr>
                <w:rFonts w:hint="eastAsia"/>
              </w:rPr>
              <w:t>第三章</w:t>
            </w:r>
          </w:p>
          <w:p>
            <w:pPr>
              <w:pStyle w:val="30"/>
              <w:bidi w:val="0"/>
              <w:jc w:val="center"/>
            </w:pPr>
            <w:r>
              <w:rPr>
                <w:rFonts w:hint="eastAsia"/>
              </w:rPr>
              <w:t>3.2.4</w:t>
            </w:r>
          </w:p>
        </w:tc>
        <w:tc>
          <w:tcPr>
            <w:tcW w:w="1233" w:type="dxa"/>
            <w:noWrap/>
            <w:vAlign w:val="center"/>
          </w:tcPr>
          <w:p>
            <w:pPr>
              <w:pStyle w:val="30"/>
              <w:bidi w:val="0"/>
              <w:jc w:val="center"/>
              <w:rPr>
                <w:rFonts w:hint="eastAsia"/>
              </w:rPr>
            </w:pPr>
            <w:r>
              <w:rPr>
                <w:rFonts w:hint="eastAsia"/>
              </w:rPr>
              <w:t>明显低价</w:t>
            </w:r>
          </w:p>
        </w:tc>
        <w:tc>
          <w:tcPr>
            <w:tcW w:w="6583" w:type="dxa"/>
            <w:noWrap/>
          </w:tcPr>
          <w:p>
            <w:pPr>
              <w:pStyle w:val="30"/>
              <w:bidi w:val="0"/>
              <w:rPr>
                <w:rFonts w:hint="eastAsia"/>
              </w:rPr>
            </w:pPr>
            <w:r>
              <w:rPr>
                <w:rFonts w:hint="eastAsia"/>
                <w:lang w:eastAsia="zh-CN"/>
              </w:rPr>
              <w:t>评审小组</w:t>
            </w:r>
            <w:r>
              <w:rPr>
                <w:rFonts w:hint="eastAsia"/>
              </w:rPr>
              <w:t>会认为投标人的报价明显低于其他通过符合性审查投标人的报价，有可能影响产品质量或者不能诚信履约的，有权要求该投标人在评标现场合理时间内提供书面说明，必要时提交相关证明材料。投标人拒绝书面说明或不能证明其报价合理性的，</w:t>
            </w:r>
            <w:r>
              <w:rPr>
                <w:rFonts w:hint="eastAsia"/>
                <w:lang w:eastAsia="zh-CN"/>
              </w:rPr>
              <w:t>评审小组</w:t>
            </w:r>
            <w:r>
              <w:rPr>
                <w:rFonts w:hint="eastAsia"/>
              </w:rPr>
              <w:t>会有权将其作为无效投标处理，其报价不能参与评分。</w:t>
            </w:r>
          </w:p>
        </w:tc>
      </w:tr>
    </w:tbl>
    <w:p>
      <w:pPr>
        <w:pageBreakBefore w:val="0"/>
        <w:widowControl w:val="0"/>
        <w:kinsoku/>
        <w:wordWrap w:val="0"/>
        <w:overflowPunct/>
        <w:topLinePunct w:val="0"/>
        <w:bidi w:val="0"/>
        <w:ind w:left="0" w:firstLineChars="0" w:firstLine="0"/>
        <w:textAlignment w:val="auto"/>
        <w:rPr>
          <w:rFonts w:ascii="Times New Roman" w:hAnsi="Times New Roman"/>
        </w:rPr>
      </w:pPr>
      <w:bookmarkEnd w:id="491"/>
      <w:bookmarkEnd w:id="492"/>
      <w:r>
        <w:rPr>
          <w:rFonts w:ascii="Times New Roman" w:hAnsi="Times New Roman"/>
        </w:rPr>
        <w:br w:type="page"/>
      </w:r>
    </w:p>
    <w:p>
      <w:pPr>
        <w:pStyle w:val="1"/>
        <w:keepNext/>
        <w:keepLines/>
        <w:pageBreakBefore w:val="0"/>
        <w:widowControl w:val="0"/>
        <w:kinsoku/>
        <w:wordWrap w:val="0"/>
        <w:overflowPunct/>
        <w:topLinePunct w:val="0"/>
        <w:bidi w:val="0"/>
        <w:textAlignment w:val="auto"/>
      </w:pPr>
      <w:bookmarkStart w:id="497" w:name="_Toc506278874"/>
      <w:bookmarkStart w:id="498" w:name="_Toc7759"/>
      <w:bookmarkStart w:id="499" w:name="_Toc505867274"/>
      <w:r>
        <w:t>第四章 合同条款（样本）</w:t>
      </w:r>
      <w:bookmarkEnd w:id="497"/>
      <w:bookmarkEnd w:id="498"/>
      <w:bookmarkEnd w:id="499"/>
    </w:p>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textAlignment w:val="auto"/>
        <w:rPr>
          <w:rFonts w:ascii="Times New Roman" w:hAnsi="Times New Roman"/>
        </w:rPr>
      </w:pPr>
    </w:p>
    <w:p>
      <w:pPr>
        <w:pStyle w:val="15"/>
        <w:rPr>
          <w:rFonts w:ascii="Times New Roman" w:hAnsi="Times New Roman"/>
        </w:rPr>
      </w:pPr>
    </w:p>
    <w:p/>
    <w:p>
      <w:pPr>
        <w:pageBreakBefore w:val="0"/>
        <w:widowControl w:val="0"/>
        <w:kinsoku/>
        <w:wordWrap w:val="0"/>
        <w:overflowPunct/>
        <w:topLinePunct w:val="0"/>
        <w:bidi w:val="0"/>
        <w:spacing w:line="240" w:lineRule="auto"/>
        <w:ind w:left="0" w:firstLineChars="0" w:firstLine="0"/>
        <w:jc w:val="center"/>
        <w:textAlignment w:val="auto"/>
        <w:rPr>
          <w:rFonts w:ascii="方正仿宋_GBK" w:eastAsia="方正仿宋_GBK" w:cs="方正仿宋_GBK" w:hint="eastAsia"/>
          <w:b/>
          <w:bCs/>
          <w:sz w:val="44"/>
          <w:szCs w:val="44"/>
        </w:rPr>
      </w:pPr>
      <w:r>
        <w:rPr>
          <w:rFonts w:ascii="方正仿宋_GBK" w:eastAsia="方正仿宋_GBK" w:cs="方正仿宋_GBK" w:hint="eastAsia"/>
          <w:b/>
          <w:bCs/>
          <w:sz w:val="44"/>
          <w:szCs w:val="44"/>
          <w:lang w:val="en-US" w:eastAsia="zh-CN"/>
        </w:rPr>
        <w:t>黔江海关</w:t>
      </w:r>
      <w:r>
        <w:rPr>
          <w:rFonts w:ascii="Times New Roman" w:eastAsia="方正黑体_GBK" w:cs="Times New Roman" w:hAnsi="Times New Roman"/>
          <w:b/>
          <w:bCs/>
          <w:sz w:val="44"/>
          <w:szCs w:val="44"/>
          <w:lang w:val="en-US" w:eastAsia="zh-CN"/>
        </w:rPr>
        <w:t>UPS</w:t>
      </w:r>
      <w:r>
        <w:rPr>
          <w:rFonts w:ascii="方正仿宋_GBK" w:eastAsia="方正仿宋_GBK" w:cs="方正仿宋_GBK" w:hint="eastAsia"/>
          <w:b/>
          <w:bCs/>
          <w:sz w:val="44"/>
          <w:szCs w:val="44"/>
          <w:lang w:val="en-US" w:eastAsia="zh-CN"/>
        </w:rPr>
        <w:t>电池更新及监控扩容升级项目</w:t>
      </w:r>
    </w:p>
    <w:p>
      <w:pPr>
        <w:pageBreakBefore w:val="0"/>
        <w:widowControl w:val="0"/>
        <w:kinsoku/>
        <w:wordWrap w:val="0"/>
        <w:overflowPunct/>
        <w:topLinePunct w:val="0"/>
        <w:bidi w:val="0"/>
        <w:textAlignment w:val="auto"/>
        <w:rPr>
          <w:rFonts w:ascii="Times New Roman" w:hAnsi="Times New Roman"/>
        </w:rPr>
      </w:pPr>
    </w:p>
    <w:p>
      <w:pPr>
        <w:pStyle w:val="15"/>
        <w:rPr>
          <w:rFonts w:ascii="Times New Roman" w:hAnsi="Times New Roman"/>
        </w:rPr>
      </w:pPr>
    </w:p>
    <w:p>
      <w:pPr>
        <w:rPr>
          <w:rFonts w:ascii="Times New Roman" w:hAnsi="Times New Roman"/>
        </w:rPr>
      </w:pPr>
    </w:p>
    <w:p>
      <w:pPr>
        <w:pStyle w:val="15"/>
        <w:rPr>
          <w:rFonts w:ascii="Times New Roman" w:hAnsi="Times New Roman"/>
        </w:rPr>
      </w:pPr>
    </w:p>
    <w:p>
      <w:pPr>
        <w:rPr>
          <w:rFonts w:ascii="Times New Roman" w:hAnsi="Times New Roman"/>
        </w:rPr>
      </w:pPr>
    </w:p>
    <w:p>
      <w:pPr>
        <w:pStyle w:val="15"/>
        <w:rPr>
          <w:rFonts w:ascii="Times New Roman" w:hAnsi="Times New Roman"/>
        </w:rPr>
      </w:pPr>
    </w:p>
    <w:p>
      <w:pPr>
        <w:rPr>
          <w:rFonts w:ascii="Times New Roman" w:hAnsi="Times New Roman"/>
        </w:rPr>
      </w:pPr>
    </w:p>
    <w:p>
      <w:pPr>
        <w:pStyle w:val="15"/>
        <w:rPr>
          <w:rFonts w:ascii="Times New Roman" w:hAnsi="Times New Roman"/>
        </w:rPr>
      </w:pPr>
    </w:p>
    <w:p/>
    <w:p>
      <w:pPr>
        <w:bidi w:val="0"/>
        <w:rPr>
          <w:rFonts w:ascii="方正仿宋_GBK" w:eastAsia="方正仿宋_GBK" w:cs="方正仿宋_GBK" w:hint="eastAsia"/>
        </w:rPr>
      </w:pPr>
    </w:p>
    <w:p>
      <w:pPr>
        <w:bidi w:val="0"/>
        <w:rPr>
          <w:rFonts w:ascii="方正仿宋_GBK" w:eastAsia="方正仿宋_GBK" w:cs="方正仿宋_GBK"/>
          <w:lang w:val="en-US" w:eastAsia="zh-CN"/>
        </w:rPr>
      </w:pPr>
      <w:r>
        <w:rPr>
          <w:rFonts w:ascii="方正仿宋_GBK" w:eastAsia="方正仿宋_GBK" w:cs="方正仿宋_GBK" w:hint="eastAsia"/>
          <w:lang w:eastAsia="zh-CN"/>
        </w:rPr>
        <w:t>买方</w:t>
      </w:r>
      <w:r>
        <w:rPr>
          <w:rFonts w:ascii="方正仿宋_GBK" w:eastAsia="方正仿宋_GBK" w:cs="方正仿宋_GBK" w:hint="eastAsia"/>
        </w:rPr>
        <w:t>：</w:t>
      </w:r>
      <w:r>
        <w:rPr>
          <w:rFonts w:ascii="方正仿宋_GBK" w:eastAsia="方正仿宋_GBK" w:cs="方正仿宋_GBK" w:hint="eastAsia"/>
          <w:lang w:val="en-US" w:eastAsia="zh-CN"/>
        </w:rPr>
        <w:t>中华人民共和国黔江海关</w:t>
      </w:r>
    </w:p>
    <w:p>
      <w:pPr>
        <w:bidi w:val="0"/>
        <w:rPr>
          <w:rFonts w:ascii="方正仿宋_GBK" w:eastAsia="方正仿宋_GBK" w:cs="方正仿宋_GBK" w:hint="eastAsia"/>
        </w:rPr>
      </w:pPr>
      <w:r>
        <w:rPr>
          <w:rFonts w:ascii="方正仿宋_GBK" w:eastAsia="方正仿宋_GBK" w:cs="方正仿宋_GBK" w:hint="eastAsia"/>
          <w:lang w:eastAsia="zh-CN"/>
        </w:rPr>
        <w:t>卖方</w:t>
      </w:r>
      <w:r>
        <w:rPr>
          <w:rFonts w:ascii="方正仿宋_GBK" w:eastAsia="方正仿宋_GBK" w:cs="方正仿宋_GBK" w:hint="eastAsia"/>
        </w:rPr>
        <w:t>：</w:t>
      </w:r>
    </w:p>
    <w:p>
      <w:pPr>
        <w:bidi w:val="0"/>
        <w:rPr>
          <w:rFonts w:ascii="方正仿宋_GBK" w:eastAsia="方正仿宋_GBK" w:cs="方正仿宋_GBK" w:hint="eastAsia"/>
        </w:rPr>
      </w:pPr>
      <w:r>
        <w:rPr>
          <w:rFonts w:ascii="方正仿宋_GBK" w:eastAsia="方正仿宋_GBK" w:cs="方正仿宋_GBK" w:hint="eastAsia"/>
        </w:rPr>
        <w:t>签约时间：</w:t>
      </w:r>
    </w:p>
    <w:p>
      <w:pPr>
        <w:bidi w:val="0"/>
        <w:rPr>
          <w:rFonts w:ascii="方正仿宋_GBK" w:eastAsia="方正仿宋_GBK" w:cs="方正仿宋_GBK" w:hint="eastAsia"/>
        </w:rPr>
      </w:pPr>
      <w:r>
        <w:rPr>
          <w:rFonts w:ascii="方正仿宋_GBK" w:eastAsia="方正仿宋_GBK" w:cs="方正仿宋_GBK" w:hint="eastAsia"/>
        </w:rPr>
        <w:t>签约地点：</w:t>
      </w:r>
      <w:r>
        <w:rPr>
          <w:rFonts w:ascii="方正仿宋_GBK" w:eastAsia="方正仿宋_GBK" w:cs="方正仿宋_GBK" w:hint="eastAsia"/>
          <w:lang w:val="en-US" w:eastAsia="zh-CN"/>
        </w:rPr>
        <w:t>重庆市黔江区正阳街道积富社区香山路11号</w:t>
      </w:r>
    </w:p>
    <w:p>
      <w:pPr>
        <w:rPr>
          <w:rFonts w:ascii="Times New Roman" w:hAnsi="Times New Roman" w:hint="eastAsia"/>
        </w:rPr>
      </w:pPr>
      <w:r>
        <w:rPr>
          <w:rFonts w:ascii="Times New Roman" w:hAnsi="Times New Roman" w:hint="eastAsia"/>
        </w:rPr>
        <w:br w:type="page"/>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lang w:eastAsia="zh-CN"/>
        </w:rPr>
      </w:pPr>
      <w:r>
        <w:rPr>
          <w:rFonts w:ascii="Times New Roman" w:eastAsia="方正仿宋_GBK" w:cs="方正仿宋_GBK" w:hAnsi="Times New Roman" w:hint="eastAsia"/>
          <w:b w:val="0"/>
          <w:bCs w:val="0"/>
          <w:lang w:eastAsia="zh-CN"/>
        </w:rPr>
        <w:t>买方</w:t>
      </w:r>
      <w:r>
        <w:rPr>
          <w:rFonts w:ascii="Times New Roman" w:eastAsia="方正仿宋_GBK" w:cs="方正仿宋_GBK" w:hAnsi="Times New Roman" w:hint="eastAsia"/>
          <w:b w:val="0"/>
          <w:bCs w:val="0"/>
        </w:rPr>
        <w:t>：</w:t>
      </w:r>
      <w:r>
        <w:rPr>
          <w:rFonts w:ascii="Times New Roman" w:eastAsia="方正仿宋_GBK" w:cs="方正仿宋_GBK" w:hAnsi="Times New Roman" w:hint="eastAsia"/>
          <w:b w:val="0"/>
          <w:bCs w:val="0"/>
          <w:lang w:eastAsia="zh-CN"/>
        </w:rPr>
        <w:t>中华人民共和国黔江海关</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rPr>
      </w:pPr>
      <w:r>
        <w:rPr>
          <w:rFonts w:ascii="Times New Roman" w:eastAsia="方正仿宋_GBK" w:cs="方正仿宋_GBK" w:hAnsi="Times New Roman" w:hint="eastAsia"/>
          <w:b w:val="0"/>
          <w:bCs w:val="0"/>
          <w:lang w:eastAsia="zh-CN"/>
        </w:rPr>
        <w:t>卖方</w:t>
      </w:r>
      <w:r>
        <w:rPr>
          <w:rFonts w:ascii="Times New Roman" w:eastAsia="方正仿宋_GBK" w:cs="方正仿宋_GBK" w:hAnsi="Times New Roman" w:hint="eastAsia"/>
          <w:b w:val="0"/>
          <w:bCs w:val="0"/>
        </w:rPr>
        <w:t>：</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rPr>
      </w:pPr>
      <w:r>
        <w:rPr>
          <w:rFonts w:ascii="Times New Roman" w:eastAsia="方正仿宋_GBK" w:cs="方正仿宋_GBK" w:hAnsi="Times New Roman" w:hint="eastAsia"/>
          <w:b/>
          <w:bCs/>
        </w:rPr>
        <w:t>第一条  签约背景及合同目的</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根据平等互利、互守信用原则，经友好协商，双方就卖方向买方销售本合同约定的货物事宜达成协议，并一致同意按如下条款签订本合同。</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二</w:t>
      </w:r>
      <w:r>
        <w:rPr>
          <w:rFonts w:ascii="Times New Roman" w:eastAsia="方正仿宋_GBK" w:cs="方正仿宋_GBK" w:hAnsi="Times New Roman" w:hint="eastAsia"/>
          <w:b/>
          <w:bCs/>
        </w:rPr>
        <w:t>条  货物本体描述</w:t>
      </w:r>
    </w:p>
    <w:tbl>
      <w:tblPr>
        <w:tblpPr w:leftFromText="180" w:rightFromText="180" w:vertAnchor="text" w:horzAnchor="page" w:tblpX="1401" w:tblpY="536"/>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1917"/>
        <w:gridCol w:w="1515"/>
        <w:gridCol w:w="1395"/>
        <w:gridCol w:w="1185"/>
        <w:gridCol w:w="1365"/>
        <w:gridCol w:w="1365"/>
      </w:tblGrid>
      <w:tr>
        <w:tc>
          <w:tcPr>
            <w:tcW w:w="705" w:type="dxa"/>
            <w:noWrap/>
            <w:vAlign w:val="center"/>
          </w:tcPr>
          <w:p>
            <w:pPr>
              <w:pStyle w:val="30"/>
              <w:bidi w:val="0"/>
              <w:spacing w:line="240" w:lineRule="auto"/>
              <w:jc w:val="center"/>
              <w:rPr>
                <w:rFonts w:ascii="Times New Roman" w:eastAsia="方正仿宋_GBK" w:cs="方正仿宋_GBK" w:hAnsi="Times New Roman" w:hint="eastAsia"/>
                <w:b/>
                <w:bCs/>
                <w:lang w:val="en-US" w:eastAsia="zh-CN"/>
              </w:rPr>
            </w:pPr>
            <w:r>
              <w:rPr>
                <w:rFonts w:ascii="Times New Roman" w:eastAsia="方正仿宋_GBK" w:cs="方正仿宋_GBK" w:hAnsi="Times New Roman" w:hint="eastAsia"/>
                <w:b/>
                <w:bCs/>
                <w:lang w:val="en-US" w:eastAsia="zh-CN"/>
              </w:rPr>
              <w:t>序号</w:t>
            </w:r>
          </w:p>
        </w:tc>
        <w:tc>
          <w:tcPr>
            <w:tcW w:w="1917" w:type="dxa"/>
            <w:noWrap/>
            <w:vAlign w:val="center"/>
          </w:tcPr>
          <w:p>
            <w:pPr>
              <w:pStyle w:val="30"/>
              <w:bidi w:val="0"/>
              <w:spacing w:line="240" w:lineRule="auto"/>
              <w:jc w:val="center"/>
              <w:rPr>
                <w:rFonts w:ascii="Times New Roman" w:eastAsia="方正仿宋_GBK" w:cs="方正仿宋_GBK" w:hAnsi="Times New Roman" w:hint="eastAsia"/>
                <w:b/>
                <w:bCs/>
              </w:rPr>
            </w:pPr>
            <w:r>
              <w:rPr>
                <w:rFonts w:ascii="Times New Roman" w:eastAsia="方正仿宋_GBK" w:cs="方正仿宋_GBK" w:hAnsi="Times New Roman" w:hint="eastAsia"/>
                <w:b/>
                <w:bCs/>
              </w:rPr>
              <w:t>名称</w:t>
            </w:r>
          </w:p>
        </w:tc>
        <w:tc>
          <w:tcPr>
            <w:tcW w:w="1515" w:type="dxa"/>
            <w:noWrap/>
            <w:vAlign w:val="center"/>
          </w:tcPr>
          <w:p>
            <w:pPr>
              <w:pStyle w:val="30"/>
              <w:bidi w:val="0"/>
              <w:spacing w:line="240" w:lineRule="auto"/>
              <w:jc w:val="center"/>
              <w:rPr>
                <w:rFonts w:ascii="Times New Roman" w:eastAsia="方正仿宋_GBK" w:cs="方正仿宋_GBK" w:hAnsi="Times New Roman" w:hint="eastAsia"/>
                <w:b/>
                <w:bCs/>
              </w:rPr>
            </w:pPr>
            <w:r>
              <w:rPr>
                <w:rFonts w:ascii="Times New Roman" w:eastAsia="方正仿宋_GBK" w:cs="方正仿宋_GBK" w:hAnsi="Times New Roman" w:hint="eastAsia"/>
                <w:b/>
                <w:bCs/>
              </w:rPr>
              <w:t>规格型号品牌</w:t>
            </w:r>
          </w:p>
        </w:tc>
        <w:tc>
          <w:tcPr>
            <w:tcW w:w="1395" w:type="dxa"/>
            <w:noWrap/>
            <w:vAlign w:val="center"/>
          </w:tcPr>
          <w:p>
            <w:pPr>
              <w:pStyle w:val="30"/>
              <w:bidi w:val="0"/>
              <w:spacing w:line="240" w:lineRule="auto"/>
              <w:jc w:val="center"/>
              <w:rPr>
                <w:rFonts w:ascii="Times New Roman" w:eastAsia="方正仿宋_GBK" w:cs="方正仿宋_GBK" w:hAnsi="Times New Roman" w:hint="eastAsia"/>
                <w:b/>
                <w:bCs/>
              </w:rPr>
            </w:pPr>
            <w:r>
              <w:rPr>
                <w:rFonts w:ascii="Times New Roman" w:eastAsia="方正仿宋_GBK" w:cs="方正仿宋_GBK" w:hAnsi="Times New Roman" w:hint="eastAsia"/>
                <w:b/>
                <w:bCs/>
              </w:rPr>
              <w:t>单价（含税）</w:t>
            </w:r>
          </w:p>
        </w:tc>
        <w:tc>
          <w:tcPr>
            <w:tcW w:w="1185" w:type="dxa"/>
            <w:noWrap/>
          </w:tcPr>
          <w:p>
            <w:pPr>
              <w:pStyle w:val="30"/>
              <w:bidi w:val="0"/>
              <w:spacing w:line="240" w:lineRule="auto"/>
              <w:jc w:val="center"/>
              <w:rPr>
                <w:rFonts w:ascii="Times New Roman" w:eastAsia="方正仿宋_GBK" w:cs="方正仿宋_GBK" w:hAnsi="Times New Roman" w:hint="eastAsia"/>
                <w:b/>
                <w:bCs/>
              </w:rPr>
            </w:pPr>
            <w:r>
              <w:rPr>
                <w:rFonts w:ascii="Times New Roman" w:eastAsia="方正仿宋_GBK" w:cs="方正仿宋_GBK" w:hAnsi="Times New Roman" w:hint="eastAsia"/>
                <w:b/>
                <w:bCs/>
              </w:rPr>
              <w:t>税率</w:t>
            </w:r>
          </w:p>
        </w:tc>
        <w:tc>
          <w:tcPr>
            <w:tcW w:w="1365" w:type="dxa"/>
            <w:noWrap/>
            <w:vAlign w:val="center"/>
          </w:tcPr>
          <w:p>
            <w:pPr>
              <w:pStyle w:val="30"/>
              <w:bidi w:val="0"/>
              <w:spacing w:line="240" w:lineRule="auto"/>
              <w:jc w:val="center"/>
              <w:rPr>
                <w:rFonts w:ascii="Times New Roman" w:eastAsia="方正仿宋_GBK" w:cs="方正仿宋_GBK" w:hAnsi="Times New Roman" w:hint="eastAsia"/>
                <w:b/>
                <w:bCs/>
              </w:rPr>
            </w:pPr>
            <w:r>
              <w:rPr>
                <w:rFonts w:ascii="Times New Roman" w:eastAsia="方正仿宋_GBK" w:cs="方正仿宋_GBK" w:hAnsi="Times New Roman" w:hint="eastAsia"/>
                <w:b/>
                <w:bCs/>
              </w:rPr>
              <w:t>数量</w:t>
            </w:r>
          </w:p>
        </w:tc>
        <w:tc>
          <w:tcPr>
            <w:tcW w:w="1365" w:type="dxa"/>
            <w:noWrap/>
            <w:vAlign w:val="center"/>
          </w:tcPr>
          <w:p>
            <w:pPr>
              <w:pStyle w:val="30"/>
              <w:bidi w:val="0"/>
              <w:spacing w:line="240" w:lineRule="auto"/>
              <w:jc w:val="center"/>
              <w:rPr>
                <w:rFonts w:ascii="Times New Roman" w:eastAsia="方正仿宋_GBK" w:cs="方正仿宋_GBK" w:hAnsi="Times New Roman" w:hint="eastAsia"/>
                <w:b/>
                <w:bCs/>
                <w:lang w:val="en-US" w:eastAsia="zh-CN"/>
              </w:rPr>
            </w:pPr>
            <w:r>
              <w:rPr>
                <w:rFonts w:ascii="Times New Roman" w:eastAsia="方正仿宋_GBK" w:cs="方正仿宋_GBK" w:hAnsi="Times New Roman" w:hint="eastAsia"/>
                <w:b/>
                <w:bCs/>
                <w:lang w:val="en-US" w:eastAsia="zh-CN"/>
              </w:rPr>
              <w:t>备注</w:t>
            </w:r>
          </w:p>
        </w:tc>
      </w:tr>
      <w:tr>
        <w:tc>
          <w:tcPr>
            <w:tcW w:w="705" w:type="dxa"/>
            <w:noWrap/>
            <w:vAlign w:val="center"/>
          </w:tcPr>
          <w:p>
            <w:pPr>
              <w:pStyle w:val="30"/>
              <w:bidi w:val="0"/>
              <w:jc w:val="center"/>
              <w:rPr>
                <w:rFonts w:ascii="Times New Roman" w:eastAsia="方正仿宋_GBK" w:cs="Times New Roman" w:hAnsi="Times New Roman"/>
              </w:rPr>
            </w:pPr>
            <w:r>
              <w:rPr>
                <w:rFonts w:ascii="Times New Roman" w:eastAsia="方正仿宋_GBK" w:cs="Times New Roman" w:hAnsi="Times New Roman"/>
              </w:rPr>
              <w:t>1</w:t>
            </w:r>
          </w:p>
        </w:tc>
        <w:tc>
          <w:tcPr>
            <w:tcW w:w="1917"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UPS电池组</w:t>
            </w:r>
          </w:p>
        </w:tc>
        <w:tc>
          <w:tcPr>
            <w:tcW w:w="1515" w:type="dxa"/>
            <w:noWrap/>
            <w:vAlign w:val="center"/>
          </w:tcPr>
          <w:p>
            <w:pPr>
              <w:pStyle w:val="30"/>
              <w:bidi w:val="0"/>
              <w:rPr>
                <w:rFonts w:ascii="Times New Roman" w:eastAsia="方正仿宋_GBK" w:cs="方正仿宋_GBK" w:hAnsi="Times New Roman" w:hint="eastAsia"/>
                <w:lang w:val="en-US" w:eastAsia="zh-CN"/>
              </w:rPr>
            </w:pPr>
          </w:p>
        </w:tc>
        <w:tc>
          <w:tcPr>
            <w:tcW w:w="1395" w:type="dxa"/>
            <w:noWrap/>
            <w:vAlign w:val="center"/>
          </w:tcPr>
          <w:p>
            <w:pPr>
              <w:pStyle w:val="30"/>
              <w:bidi w:val="0"/>
              <w:rPr>
                <w:rFonts w:ascii="Times New Roman" w:eastAsia="方正仿宋_GBK" w:cs="方正仿宋_GBK" w:hAnsi="Times New Roman" w:hint="eastAsia"/>
                <w:lang w:val="en-US" w:eastAsia="zh-CN"/>
              </w:rPr>
            </w:pPr>
          </w:p>
        </w:tc>
        <w:tc>
          <w:tcPr>
            <w:tcW w:w="118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r>
      <w:tr>
        <w:trPr>
          <w:trHeight w:val="379"/>
        </w:trPr>
        <w:tc>
          <w:tcPr>
            <w:tcW w:w="705"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2</w:t>
            </w:r>
          </w:p>
        </w:tc>
        <w:tc>
          <w:tcPr>
            <w:tcW w:w="1917"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机房除湿机</w:t>
            </w:r>
          </w:p>
        </w:tc>
        <w:tc>
          <w:tcPr>
            <w:tcW w:w="1515" w:type="dxa"/>
            <w:noWrap/>
            <w:vAlign w:val="center"/>
          </w:tcPr>
          <w:p>
            <w:pPr>
              <w:pStyle w:val="30"/>
              <w:bidi w:val="0"/>
              <w:rPr>
                <w:rFonts w:ascii="Times New Roman" w:eastAsia="方正仿宋_GBK" w:cs="方正仿宋_GBK" w:hAnsi="Times New Roman" w:hint="eastAsia"/>
                <w:lang w:val="en-US" w:eastAsia="zh-CN"/>
              </w:rPr>
            </w:pPr>
          </w:p>
        </w:tc>
        <w:tc>
          <w:tcPr>
            <w:tcW w:w="1395" w:type="dxa"/>
            <w:noWrap/>
            <w:vAlign w:val="center"/>
          </w:tcPr>
          <w:p>
            <w:pPr>
              <w:pStyle w:val="30"/>
              <w:bidi w:val="0"/>
              <w:rPr>
                <w:rFonts w:ascii="Times New Roman" w:eastAsia="方正仿宋_GBK" w:cs="方正仿宋_GBK" w:hAnsi="Times New Roman" w:hint="eastAsia"/>
                <w:lang w:val="en-US" w:eastAsia="zh-CN"/>
              </w:rPr>
            </w:pPr>
          </w:p>
        </w:tc>
        <w:tc>
          <w:tcPr>
            <w:tcW w:w="118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r>
      <w:tr>
        <w:tc>
          <w:tcPr>
            <w:tcW w:w="705"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3</w:t>
            </w:r>
          </w:p>
        </w:tc>
        <w:tc>
          <w:tcPr>
            <w:tcW w:w="1917"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硬盘录像机</w:t>
            </w:r>
          </w:p>
        </w:tc>
        <w:tc>
          <w:tcPr>
            <w:tcW w:w="1515" w:type="dxa"/>
            <w:noWrap/>
            <w:vAlign w:val="center"/>
          </w:tcPr>
          <w:p>
            <w:pPr>
              <w:pStyle w:val="30"/>
              <w:bidi w:val="0"/>
              <w:rPr>
                <w:rFonts w:ascii="Times New Roman" w:eastAsia="方正仿宋_GBK" w:cs="方正仿宋_GBK" w:hAnsi="Times New Roman" w:hint="eastAsia"/>
                <w:lang w:val="en-US" w:eastAsia="zh-CN"/>
              </w:rPr>
            </w:pPr>
          </w:p>
        </w:tc>
        <w:tc>
          <w:tcPr>
            <w:tcW w:w="1395" w:type="dxa"/>
            <w:noWrap/>
            <w:vAlign w:val="center"/>
          </w:tcPr>
          <w:p>
            <w:pPr>
              <w:pStyle w:val="30"/>
              <w:bidi w:val="0"/>
              <w:rPr>
                <w:rFonts w:ascii="Times New Roman" w:eastAsia="方正仿宋_GBK" w:cs="方正仿宋_GBK" w:hAnsi="Times New Roman" w:hint="eastAsia"/>
                <w:lang w:val="en-US" w:eastAsia="zh-CN"/>
              </w:rPr>
            </w:pPr>
          </w:p>
        </w:tc>
        <w:tc>
          <w:tcPr>
            <w:tcW w:w="118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r>
      <w:tr>
        <w:tc>
          <w:tcPr>
            <w:tcW w:w="705"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4</w:t>
            </w:r>
          </w:p>
        </w:tc>
        <w:tc>
          <w:tcPr>
            <w:tcW w:w="1917"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企业级硬盘</w:t>
            </w:r>
          </w:p>
        </w:tc>
        <w:tc>
          <w:tcPr>
            <w:tcW w:w="1515" w:type="dxa"/>
            <w:noWrap/>
            <w:vAlign w:val="center"/>
          </w:tcPr>
          <w:p>
            <w:pPr>
              <w:pStyle w:val="30"/>
              <w:bidi w:val="0"/>
              <w:rPr>
                <w:rFonts w:ascii="Times New Roman" w:eastAsia="方正仿宋_GBK" w:cs="方正仿宋_GBK" w:hAnsi="Times New Roman" w:hint="eastAsia"/>
                <w:lang w:val="en-US" w:eastAsia="zh-CN"/>
              </w:rPr>
            </w:pPr>
          </w:p>
        </w:tc>
        <w:tc>
          <w:tcPr>
            <w:tcW w:w="1395" w:type="dxa"/>
            <w:noWrap/>
            <w:vAlign w:val="center"/>
          </w:tcPr>
          <w:p>
            <w:pPr>
              <w:pStyle w:val="30"/>
              <w:bidi w:val="0"/>
              <w:rPr>
                <w:rFonts w:ascii="Times New Roman" w:eastAsia="方正仿宋_GBK" w:cs="方正仿宋_GBK" w:hAnsi="Times New Roman" w:hint="eastAsia"/>
                <w:lang w:val="en-US" w:eastAsia="zh-CN"/>
              </w:rPr>
            </w:pPr>
          </w:p>
        </w:tc>
        <w:tc>
          <w:tcPr>
            <w:tcW w:w="118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r>
      <w:tr>
        <w:tc>
          <w:tcPr>
            <w:tcW w:w="705"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5</w:t>
            </w:r>
          </w:p>
        </w:tc>
        <w:tc>
          <w:tcPr>
            <w:tcW w:w="1917" w:type="dxa"/>
            <w:noWrap/>
            <w:vAlign w:val="center"/>
          </w:tcPr>
          <w:p>
            <w:pPr>
              <w:pStyle w:val="30"/>
              <w:bidi w:val="0"/>
              <w:jc w:val="center"/>
              <w:rPr>
                <w:rFonts w:ascii="Times New Roman" w:eastAsia="方正仿宋_GBK" w:cs="Times New Roman" w:hAnsi="Times New Roman"/>
                <w:lang w:val="en-US" w:eastAsia="zh-CN"/>
              </w:rPr>
            </w:pPr>
            <w:r>
              <w:rPr>
                <w:rFonts w:ascii="Times New Roman" w:eastAsia="方正仿宋_GBK" w:cs="Times New Roman" w:hAnsi="Times New Roman"/>
                <w:lang w:val="en-US" w:eastAsia="zh-CN"/>
              </w:rPr>
              <w:t>主机电路一体机</w:t>
            </w:r>
          </w:p>
        </w:tc>
        <w:tc>
          <w:tcPr>
            <w:tcW w:w="1515" w:type="dxa"/>
            <w:noWrap/>
            <w:vAlign w:val="center"/>
          </w:tcPr>
          <w:p>
            <w:pPr>
              <w:pStyle w:val="30"/>
              <w:bidi w:val="0"/>
              <w:rPr>
                <w:rFonts w:ascii="Times New Roman" w:eastAsia="方正仿宋_GBK" w:cs="方正仿宋_GBK" w:hAnsi="Times New Roman" w:hint="eastAsia"/>
                <w:lang w:val="en-US" w:eastAsia="zh-CN"/>
              </w:rPr>
            </w:pPr>
          </w:p>
        </w:tc>
        <w:tc>
          <w:tcPr>
            <w:tcW w:w="1395" w:type="dxa"/>
            <w:noWrap/>
            <w:vAlign w:val="center"/>
          </w:tcPr>
          <w:p>
            <w:pPr>
              <w:pStyle w:val="30"/>
              <w:bidi w:val="0"/>
              <w:rPr>
                <w:rFonts w:ascii="Times New Roman" w:eastAsia="方正仿宋_GBK" w:cs="方正仿宋_GBK" w:hAnsi="Times New Roman" w:hint="eastAsia"/>
                <w:lang w:val="en-US" w:eastAsia="zh-CN"/>
              </w:rPr>
            </w:pPr>
          </w:p>
        </w:tc>
        <w:tc>
          <w:tcPr>
            <w:tcW w:w="118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c>
          <w:tcPr>
            <w:tcW w:w="1365" w:type="dxa"/>
            <w:noWrap/>
            <w:vAlign w:val="center"/>
          </w:tcPr>
          <w:p>
            <w:pPr>
              <w:pStyle w:val="30"/>
              <w:bidi w:val="0"/>
              <w:rPr>
                <w:rFonts w:ascii="Times New Roman" w:eastAsia="方正仿宋_GBK" w:cs="方正仿宋_GBK" w:hAnsi="Times New Roman" w:hint="eastAsia"/>
                <w:lang w:val="en-US" w:eastAsia="zh-CN"/>
              </w:rPr>
            </w:pPr>
          </w:p>
        </w:tc>
      </w:tr>
    </w:tbl>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2</w:t>
      </w:r>
      <w:r>
        <w:rPr>
          <w:rFonts w:ascii="Times New Roman" w:eastAsia="方正仿宋_GBK" w:cs="方正仿宋_GBK" w:hAnsi="Times New Roman" w:hint="eastAsia"/>
          <w:b w:val="0"/>
          <w:bCs w:val="0"/>
        </w:rPr>
        <w:t>.1货物的名称、品种、规格、单价及数量：</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（注：</w:t>
      </w:r>
      <w:r>
        <w:rPr>
          <w:rFonts w:ascii="Times New Roman" w:eastAsia="方正仿宋_GBK" w:cs="方正仿宋_GBK" w:hAnsi="Times New Roman" w:hint="eastAsia"/>
          <w:b w:val="0"/>
          <w:bCs w:val="0"/>
          <w:lang w:val="en-US" w:eastAsia="zh-CN"/>
        </w:rPr>
        <w:t>以上各项产品数量为预计采购数量最大值，最终以本行实际需求量在预计采购数量范围内据实结算）</w:t>
      </w:r>
      <w:r>
        <w:rPr>
          <w:rFonts w:ascii="Times New Roman" w:eastAsia="方正仿宋_GBK" w:cs="方正仿宋_GBK" w:hAnsi="Times New Roman" w:hint="eastAsia"/>
          <w:b w:val="0"/>
          <w:bCs w:val="0"/>
        </w:rPr>
        <w:t>。</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2</w:t>
      </w:r>
      <w:r>
        <w:rPr>
          <w:rFonts w:ascii="Times New Roman" w:eastAsia="方正仿宋_GBK" w:cs="方正仿宋_GBK" w:hAnsi="Times New Roman" w:hint="eastAsia"/>
          <w:b w:val="0"/>
          <w:bCs w:val="0"/>
        </w:rPr>
        <w:t>.2货款总计</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lang w:val="en-US" w:eastAsia="zh-CN"/>
        </w:rPr>
      </w:pPr>
      <w:r>
        <w:rPr>
          <w:rFonts w:ascii="Times New Roman" w:eastAsia="方正仿宋_GBK" w:cs="方正仿宋_GBK" w:hAnsi="Times New Roman" w:hint="eastAsia"/>
          <w:b w:val="0"/>
          <w:bCs w:val="0"/>
          <w:lang w:val="en-US" w:eastAsia="zh-CN"/>
        </w:rPr>
        <w:t>本合同总价为人民币【】元（大写：）。</w:t>
      </w:r>
      <w:r>
        <w:rPr>
          <w:rFonts w:ascii="Times New Roman" w:eastAsia="方正仿宋_GBK" w:cs="方正仿宋_GBK" w:hAnsi="Times New Roman" w:hint="eastAsia"/>
          <w:b/>
          <w:bCs/>
          <w:lang w:val="en-US" w:eastAsia="zh-CN"/>
        </w:rPr>
        <w:t>此价格（或表格中的单价）为固定不变价</w:t>
      </w:r>
      <w:r>
        <w:rPr>
          <w:rFonts w:ascii="Times New Roman" w:eastAsia="方正仿宋_GBK" w:cs="方正仿宋_GBK" w:hAnsi="Times New Roman" w:hint="eastAsia"/>
          <w:b w:val="0"/>
          <w:bCs w:val="0"/>
          <w:lang w:val="en-US" w:eastAsia="zh-CN"/>
        </w:rPr>
        <w:t>，已包含乙方为完成本合同全部义务所需的一切成本、费用、开支、税费及利润</w:t>
      </w:r>
      <w:r>
        <w:rPr>
          <w:rFonts w:ascii="Times New Roman" w:eastAsia="方正仿宋_GBK" w:cs="方正仿宋_GBK" w:hAnsi="Times New Roman" w:hint="eastAsia"/>
          <w:b/>
          <w:bCs/>
          <w:lang w:val="en-US" w:eastAsia="zh-CN"/>
        </w:rPr>
        <w:t>。</w:t>
      </w:r>
      <w:r>
        <w:rPr>
          <w:rFonts w:ascii="Times New Roman" w:eastAsia="方正仿宋_GBK" w:cs="方正仿宋_GBK" w:hAnsi="Times New Roman" w:hint="eastAsia"/>
          <w:b w:val="0"/>
          <w:bCs w:val="0"/>
          <w:lang w:val="en-US" w:eastAsia="zh-CN"/>
        </w:rPr>
        <w:t>该总价已全面覆盖本合同所明示或暗示的所有工作内容、责任、风险和条件，包括但不限于包装、仓储、运输、装卸、安装、调试、验收、质保等。</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lang w:val="en-US" w:eastAsia="zh-CN"/>
        </w:rPr>
      </w:pPr>
      <w:r>
        <w:rPr>
          <w:rFonts w:ascii="Times New Roman" w:eastAsia="方正仿宋_GBK" w:cs="方正仿宋_GBK" w:hAnsi="Times New Roman" w:hint="eastAsia"/>
          <w:b w:val="0"/>
          <w:bCs w:val="0"/>
          <w:lang w:val="en-US" w:eastAsia="zh-CN"/>
        </w:rPr>
        <w:t>2.3支付方式</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lang w:val="en-US" w:eastAsia="zh-CN"/>
        </w:rPr>
      </w:pPr>
      <w:r>
        <w:rPr>
          <w:rFonts w:ascii="Times New Roman" w:eastAsia="方正仿宋_GBK" w:cs="方正仿宋_GBK" w:hAnsi="Times New Roman" w:hint="eastAsia"/>
          <w:b w:val="0"/>
          <w:bCs w:val="0"/>
          <w:lang w:val="en-US" w:eastAsia="zh-CN"/>
        </w:rPr>
        <w:t>合同签订后，项目实施完成且经甲方验收合格后，乙方提供付款申请和合同金额100%的增值税普通发票，甲方在收到付款资料之日起15个工作日内，向乙方支付合同金额100%。</w:t>
      </w:r>
    </w:p>
    <w:p>
      <w:pPr>
        <w:pageBreakBefore w:val="0"/>
        <w:widowControl w:val="0"/>
        <w:kinsoku/>
        <w:wordWrap w:val="0"/>
        <w:overflowPunct/>
        <w:topLinePunct w:val="0"/>
        <w:bidi w:val="0"/>
        <w:textAlignment w:val="auto"/>
        <w:rPr>
          <w:rFonts w:ascii="Times New Roman" w:eastAsia="方正仿宋_GBK" w:cs="方正仿宋_GBK" w:hAnsi="Times New Roman"/>
          <w:b/>
          <w:bCs/>
          <w:lang w:val="en-US" w:eastAsia="zh-CN"/>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三</w:t>
      </w:r>
      <w:r>
        <w:rPr>
          <w:rFonts w:ascii="Times New Roman" w:eastAsia="方正仿宋_GBK" w:cs="方正仿宋_GBK" w:hAnsi="Times New Roman" w:hint="eastAsia"/>
          <w:b/>
          <w:bCs/>
        </w:rPr>
        <w:t xml:space="preserve">条  </w:t>
      </w:r>
      <w:r>
        <w:rPr>
          <w:rFonts w:ascii="Times New Roman" w:eastAsia="方正仿宋_GBK" w:cs="方正仿宋_GBK" w:hAnsi="Times New Roman" w:hint="eastAsia"/>
          <w:b/>
          <w:bCs/>
          <w:lang w:val="en-US" w:eastAsia="zh-CN"/>
        </w:rPr>
        <w:t>收货信息</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交付地点：重庆市黔江区正阳街道积富社区香山路11号黔江海关。</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买方联系方式：</w:t>
      </w:r>
      <w:r>
        <w:rPr>
          <w:rFonts w:ascii="Times New Roman" w:eastAsia="方正仿宋_GBK" w:cs="方正仿宋_GBK" w:hAnsi="Times New Roman" w:hint="eastAsia"/>
          <w:b w:val="0"/>
          <w:bCs w:val="0"/>
        </w:rPr>
        <w:t>接货人【</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】，联系电话：【</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】。若未注明买方接货人及联系方式的，适用本合同其他条款约定的买方联系人及联系方式。</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四</w:t>
      </w:r>
      <w:r>
        <w:rPr>
          <w:rFonts w:ascii="Times New Roman" w:eastAsia="方正仿宋_GBK" w:cs="方正仿宋_GBK" w:hAnsi="Times New Roman" w:hint="eastAsia"/>
          <w:b/>
          <w:bCs/>
        </w:rPr>
        <w:t>条  交付期限</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不迟于【】年【】月【】日；</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五</w:t>
      </w:r>
      <w:r>
        <w:rPr>
          <w:rFonts w:ascii="Times New Roman" w:eastAsia="方正仿宋_GBK" w:cs="方正仿宋_GBK" w:hAnsi="Times New Roman" w:hint="eastAsia"/>
          <w:b/>
          <w:bCs/>
        </w:rPr>
        <w:t>条  货物的包装与标志</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5</w:t>
      </w:r>
      <w:r>
        <w:rPr>
          <w:rFonts w:ascii="Times New Roman" w:eastAsia="方正仿宋_GBK" w:cs="方正仿宋_GBK" w:hAnsi="Times New Roman" w:hint="eastAsia"/>
          <w:b w:val="0"/>
          <w:bCs w:val="0"/>
        </w:rPr>
        <w:t>.1卖方交付的所有货物均应以满足本合同目的的标准进行包装，以便货物在没有任何损坏的情况下安全地运抵货物交付地。具体的：</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5</w:t>
      </w:r>
      <w:r>
        <w:rPr>
          <w:rFonts w:ascii="Times New Roman" w:eastAsia="方正仿宋_GBK" w:cs="方正仿宋_GBK" w:hAnsi="Times New Roman" w:hint="eastAsia"/>
          <w:b w:val="0"/>
          <w:bCs w:val="0"/>
        </w:rPr>
        <w:t>.1.1卖方应按照货物的特点，须充分考虑长途运输、能承受水平受力、垂直受力、多次搬运、装卸、防潮、防震、防腐蚀、防碎等包装要求。</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5</w:t>
      </w:r>
      <w:r>
        <w:rPr>
          <w:rFonts w:ascii="Times New Roman" w:eastAsia="方正仿宋_GBK" w:cs="方正仿宋_GBK" w:hAnsi="Times New Roman" w:hint="eastAsia"/>
          <w:b w:val="0"/>
          <w:bCs w:val="0"/>
        </w:rPr>
        <w:t>.1.2具体货物若有相关包装标准的，应按照国家、部委、行业有关包装的标准中最新的规定进行包装。</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5</w:t>
      </w:r>
      <w:r>
        <w:rPr>
          <w:rFonts w:ascii="Times New Roman" w:eastAsia="方正仿宋_GBK" w:cs="方正仿宋_GBK" w:hAnsi="Times New Roman" w:hint="eastAsia"/>
          <w:b w:val="0"/>
          <w:bCs w:val="0"/>
        </w:rPr>
        <w:t>.2包装均应符合相关包装储运指示标志的规定。</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六</w:t>
      </w:r>
      <w:r>
        <w:rPr>
          <w:rFonts w:ascii="Times New Roman" w:eastAsia="方正仿宋_GBK" w:cs="方正仿宋_GBK" w:hAnsi="Times New Roman" w:hint="eastAsia"/>
          <w:b/>
          <w:bCs/>
        </w:rPr>
        <w:t>条  货物的验收与异议</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6</w:t>
      </w:r>
      <w:r>
        <w:rPr>
          <w:rFonts w:ascii="Times New Roman" w:eastAsia="方正仿宋_GBK" w:cs="方正仿宋_GBK" w:hAnsi="Times New Roman" w:hint="eastAsia"/>
          <w:b w:val="0"/>
          <w:bCs w:val="0"/>
        </w:rPr>
        <w:t>.1货物交付后【</w:t>
      </w:r>
      <w:r>
        <w:rPr>
          <w:rFonts w:ascii="Times New Roman" w:eastAsia="方正仿宋_GBK" w:cs="方正仿宋_GBK" w:hAnsi="Times New Roman" w:hint="eastAsia"/>
          <w:b w:val="0"/>
          <w:bCs w:val="0"/>
          <w:lang w:val="en-US" w:eastAsia="zh-CN"/>
        </w:rPr>
        <w:t>15</w:t>
      </w:r>
      <w:r>
        <w:rPr>
          <w:rFonts w:ascii="Times New Roman" w:eastAsia="方正仿宋_GBK" w:cs="方正仿宋_GBK" w:hAnsi="Times New Roman" w:hint="eastAsia"/>
          <w:b w:val="0"/>
          <w:bCs w:val="0"/>
        </w:rPr>
        <w:t>】日内，买方或其指定的第三方应根据本合同约定的名称、品种、规格、质量要求及技术标准对货物进行初步验收。若无异议，买方将按照本条的约定作出送达确认；若货物发现任何问题，卖方应立即进行更正，将符合合同要求的换货、部件或补货在买方要求期限内送至该地址，并承担相关费用（包括但不限于运费等）及迟延交付违约责任。</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6</w:t>
      </w:r>
      <w:r>
        <w:rPr>
          <w:rFonts w:ascii="Times New Roman" w:eastAsia="方正仿宋_GBK" w:cs="方正仿宋_GBK" w:hAnsi="Times New Roman" w:hint="eastAsia"/>
          <w:b w:val="0"/>
          <w:bCs w:val="0"/>
        </w:rPr>
        <w:t>.</w:t>
      </w:r>
      <w:r>
        <w:rPr>
          <w:rFonts w:ascii="Times New Roman" w:eastAsia="方正仿宋_GBK" w:cs="方正仿宋_GBK" w:hAnsi="Times New Roman" w:hint="eastAsia"/>
          <w:b w:val="0"/>
          <w:bCs w:val="0"/>
          <w:lang w:val="en-US" w:eastAsia="zh-CN"/>
        </w:rPr>
        <w:t>2</w:t>
      </w:r>
      <w:r>
        <w:rPr>
          <w:rFonts w:ascii="Times New Roman" w:eastAsia="方正仿宋_GBK" w:cs="方正仿宋_GBK" w:hAnsi="Times New Roman" w:hint="eastAsia"/>
          <w:b w:val="0"/>
          <w:bCs w:val="0"/>
        </w:rPr>
        <w:t>如果初步验收时，未能发现货物存在问题，做出送达确认后【</w:t>
      </w:r>
      <w:r>
        <w:rPr>
          <w:rFonts w:ascii="Times New Roman" w:eastAsia="方正仿宋_GBK" w:cs="方正仿宋_GBK" w:hAnsi="Times New Roman" w:hint="eastAsia"/>
          <w:b w:val="0"/>
          <w:bCs w:val="0"/>
          <w:lang w:val="en-US" w:eastAsia="zh-CN"/>
        </w:rPr>
        <w:t>12</w:t>
      </w:r>
      <w:r>
        <w:rPr>
          <w:rFonts w:ascii="Times New Roman" w:eastAsia="方正仿宋_GBK" w:cs="方正仿宋_GBK" w:hAnsi="Times New Roman" w:hint="eastAsia"/>
          <w:b w:val="0"/>
          <w:bCs w:val="0"/>
        </w:rPr>
        <w:t>】个月内发现非买方原因导致的货物任何损坏、缺陷、短少或不符合合同规定的质量要求和技术标准的情况，买方可立即通知卖方修理、更换或补齐短缺部件，由此产生的制造、修理和运费等一切相关费用均由卖方负担。修理、更换后的货物或经补齐的短缺部件到达交货地点前不能正常使用的部分货物以修理、更换后的货物或经补齐的短缺部件到达交货地点的时间为该部分货物的实际交货期，并可作为计算卖方迟延交付违约责任的依据。</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bCs/>
        </w:rPr>
        <w:t>第</w:t>
      </w:r>
      <w:r>
        <w:rPr>
          <w:rFonts w:ascii="Times New Roman" w:eastAsia="方正仿宋_GBK" w:cs="方正仿宋_GBK" w:hAnsi="Times New Roman" w:hint="eastAsia"/>
          <w:b/>
          <w:bCs/>
          <w:lang w:val="en-US" w:eastAsia="zh-CN"/>
        </w:rPr>
        <w:t>七</w:t>
      </w:r>
      <w:r>
        <w:rPr>
          <w:rFonts w:ascii="Times New Roman" w:eastAsia="方正仿宋_GBK" w:cs="方正仿宋_GBK" w:hAnsi="Times New Roman" w:hint="eastAsia"/>
          <w:b/>
          <w:bCs/>
        </w:rPr>
        <w:t>条  货款支付规则</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7</w:t>
      </w:r>
      <w:r>
        <w:rPr>
          <w:rFonts w:ascii="Times New Roman" w:eastAsia="方正仿宋_GBK" w:cs="方正仿宋_GBK" w:hAnsi="Times New Roman" w:hint="eastAsia"/>
          <w:b w:val="0"/>
          <w:bCs w:val="0"/>
        </w:rPr>
        <w:t>.1付款进度：</w:t>
      </w:r>
      <w:r>
        <w:rPr>
          <w:rFonts w:ascii="Times New Roman" w:eastAsia="方正仿宋_GBK" w:cs="方正仿宋_GBK" w:hAnsi="Times New Roman" w:hint="eastAsia"/>
          <w:b w:val="0"/>
          <w:bCs w:val="0"/>
          <w:lang w:eastAsia="zh-CN"/>
        </w:rPr>
        <w:t>本项目按</w:t>
      </w:r>
      <w:r>
        <w:rPr>
          <w:rFonts w:ascii="Times New Roman" w:eastAsia="方正仿宋_GBK" w:cs="方正仿宋_GBK" w:hAnsi="Times New Roman" w:hint="eastAsia"/>
          <w:b w:val="0"/>
          <w:bCs w:val="0"/>
        </w:rPr>
        <w:t>批次</w:t>
      </w:r>
      <w:r>
        <w:rPr>
          <w:rFonts w:ascii="Times New Roman" w:eastAsia="方正仿宋_GBK" w:cs="方正仿宋_GBK" w:hAnsi="Times New Roman" w:hint="eastAsia"/>
          <w:b w:val="0"/>
          <w:bCs w:val="0"/>
          <w:lang w:eastAsia="zh-CN"/>
        </w:rPr>
        <w:t>供货并</w:t>
      </w:r>
      <w:r>
        <w:rPr>
          <w:rFonts w:ascii="Times New Roman" w:eastAsia="方正仿宋_GBK" w:cs="方正仿宋_GBK" w:hAnsi="Times New Roman" w:hint="eastAsia"/>
          <w:b w:val="0"/>
          <w:bCs w:val="0"/>
        </w:rPr>
        <w:t>付款。</w:t>
      </w:r>
      <w:r>
        <w:rPr>
          <w:rFonts w:ascii="Times New Roman" w:eastAsia="方正仿宋_GBK" w:cs="方正仿宋_GBK" w:hAnsi="Times New Roman" w:hint="eastAsia"/>
          <w:b w:val="0"/>
          <w:bCs w:val="0"/>
          <w:lang w:eastAsia="zh-CN"/>
        </w:rPr>
        <w:t>由</w:t>
      </w:r>
      <w:r>
        <w:rPr>
          <w:rFonts w:ascii="Times New Roman" w:eastAsia="方正仿宋_GBK" w:cs="方正仿宋_GBK" w:hAnsi="Times New Roman" w:hint="eastAsia"/>
          <w:b w:val="0"/>
          <w:bCs w:val="0"/>
          <w:lang w:val="en-US" w:eastAsia="zh-CN"/>
        </w:rPr>
        <w:t>甲方</w:t>
      </w:r>
      <w:r>
        <w:rPr>
          <w:rFonts w:ascii="Times New Roman" w:eastAsia="方正仿宋_GBK" w:cs="方正仿宋_GBK" w:hAnsi="Times New Roman" w:hint="eastAsia"/>
          <w:b w:val="0"/>
          <w:bCs w:val="0"/>
          <w:lang w:eastAsia="zh-CN"/>
        </w:rPr>
        <w:t>统一</w:t>
      </w:r>
      <w:r>
        <w:rPr>
          <w:rFonts w:ascii="Times New Roman" w:eastAsia="方正仿宋_GBK" w:cs="方正仿宋_GBK" w:hAnsi="Times New Roman" w:hint="eastAsia"/>
          <w:b w:val="0"/>
          <w:bCs w:val="0"/>
        </w:rPr>
        <w:t>向供应商发出货物订单，</w:t>
      </w:r>
      <w:r>
        <w:rPr>
          <w:rFonts w:ascii="Times New Roman" w:eastAsia="方正仿宋_GBK" w:cs="方正仿宋_GBK" w:hAnsi="Times New Roman" w:hint="eastAsia"/>
          <w:b w:val="0"/>
          <w:bCs w:val="0"/>
          <w:lang w:eastAsia="zh-CN"/>
        </w:rPr>
        <w:t>供应商应立即供货，本行</w:t>
      </w:r>
      <w:r>
        <w:rPr>
          <w:rFonts w:ascii="Times New Roman" w:eastAsia="方正仿宋_GBK" w:cs="方正仿宋_GBK" w:hAnsi="Times New Roman" w:hint="eastAsia"/>
          <w:b w:val="0"/>
          <w:bCs w:val="0"/>
        </w:rPr>
        <w:t>收到货物</w:t>
      </w:r>
      <w:r>
        <w:rPr>
          <w:rFonts w:ascii="Times New Roman" w:eastAsia="方正仿宋_GBK" w:cs="方正仿宋_GBK" w:hAnsi="Times New Roman" w:hint="eastAsia"/>
          <w:b w:val="0"/>
          <w:bCs w:val="0"/>
          <w:lang w:eastAsia="zh-CN"/>
        </w:rPr>
        <w:t>并</w:t>
      </w:r>
      <w:r>
        <w:rPr>
          <w:rFonts w:ascii="Times New Roman" w:eastAsia="方正仿宋_GBK" w:cs="方正仿宋_GBK" w:hAnsi="Times New Roman" w:hint="eastAsia"/>
          <w:b w:val="0"/>
          <w:bCs w:val="0"/>
        </w:rPr>
        <w:t>经验收合格后</w:t>
      </w:r>
      <w:r>
        <w:rPr>
          <w:rFonts w:ascii="Times New Roman" w:eastAsia="方正仿宋_GBK" w:cs="方正仿宋_GBK" w:hAnsi="Times New Roman" w:hint="eastAsia"/>
          <w:b w:val="0"/>
          <w:bCs w:val="0"/>
          <w:lang w:val="en-US" w:eastAsia="zh-CN"/>
        </w:rPr>
        <w:t>根据后评价结果</w:t>
      </w:r>
      <w:r>
        <w:rPr>
          <w:rFonts w:ascii="Times New Roman" w:eastAsia="方正仿宋_GBK" w:cs="方正仿宋_GBK" w:hAnsi="Times New Roman" w:hint="eastAsia"/>
          <w:b w:val="0"/>
          <w:bCs w:val="0"/>
        </w:rPr>
        <w:t>支付该批次</w:t>
      </w:r>
      <w:r>
        <w:rPr>
          <w:rFonts w:ascii="Times New Roman" w:eastAsia="方正仿宋_GBK" w:cs="方正仿宋_GBK" w:hAnsi="Times New Roman" w:hint="eastAsia"/>
          <w:b w:val="0"/>
          <w:bCs w:val="0"/>
          <w:lang w:eastAsia="zh-CN"/>
        </w:rPr>
        <w:t>应付</w:t>
      </w:r>
      <w:r>
        <w:rPr>
          <w:rFonts w:ascii="Times New Roman" w:eastAsia="方正仿宋_GBK" w:cs="方正仿宋_GBK" w:hAnsi="Times New Roman" w:hint="eastAsia"/>
          <w:b w:val="0"/>
          <w:bCs w:val="0"/>
        </w:rPr>
        <w:t>货款。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7</w:t>
      </w:r>
      <w:r>
        <w:rPr>
          <w:rFonts w:ascii="Times New Roman" w:eastAsia="方正仿宋_GBK" w:cs="方正仿宋_GBK" w:hAnsi="Times New Roman" w:hint="eastAsia"/>
          <w:b w:val="0"/>
          <w:bCs w:val="0"/>
        </w:rPr>
        <w:t>.2若卖方违约，买方可在卖方违约后，上款约定的任一次支付前扣减相应的货款作为违约金或视作行使先履行/同时履行抗辩权。买方依本项约定扣减货款的，卖方仍应依合同约定履行其他或/及后续义务。</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7</w:t>
      </w:r>
      <w:r>
        <w:rPr>
          <w:rFonts w:ascii="Times New Roman" w:eastAsia="方正仿宋_GBK" w:cs="方正仿宋_GBK" w:hAnsi="Times New Roman" w:hint="eastAsia"/>
          <w:b w:val="0"/>
          <w:bCs w:val="0"/>
        </w:rPr>
        <w:t>.3买方进行每次付款前，卖方应向买方出具合法有效且满足买方要求的票据凭证，或者提前出具货款全额票据凭证。卖方出具合法有效且满足买方要求的票据凭证之前，买方有权拒绝支付相应金额的货款。若因买方依上一项之约定扣减相应货款后导致票据凭证金额与实际支付金额不符需要票据凭证冲红或更换票据凭证的，应按照买方财务制度进行。卖方不得以此为由拒绝其他或/及后续义务的履行。</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7</w:t>
      </w:r>
      <w:r>
        <w:rPr>
          <w:rFonts w:ascii="Times New Roman" w:eastAsia="方正仿宋_GBK" w:cs="方正仿宋_GBK" w:hAnsi="Times New Roman" w:hint="eastAsia"/>
          <w:b w:val="0"/>
          <w:bCs w:val="0"/>
        </w:rPr>
        <w:t>.4支付方式。双方约定以下</w:t>
      </w:r>
      <w:r>
        <w:rPr>
          <w:rFonts w:ascii="Times New Roman" w:eastAsia="方正仿宋_GBK" w:cs="方正仿宋_GBK" w:hAnsi="Times New Roman" w:hint="eastAsia"/>
          <w:b w:val="0"/>
          <w:bCs w:val="0"/>
          <w:highlight w:val="auto"/>
        </w:rPr>
        <w:t>列第【</w:t>
      </w:r>
      <w:r>
        <w:rPr>
          <w:rFonts w:ascii="Times New Roman" w:eastAsia="方正仿宋_GBK" w:cs="方正仿宋_GBK" w:hAnsi="Times New Roman" w:hint="eastAsia"/>
          <w:b w:val="0"/>
          <w:bCs w:val="0"/>
          <w:lang w:val="en-US" w:eastAsia="zh-CN"/>
          <w:highlight w:val="auto"/>
        </w:rPr>
        <w:t>7.4.1</w:t>
      </w:r>
      <w:r>
        <w:rPr>
          <w:rFonts w:ascii="Times New Roman" w:eastAsia="方正仿宋_GBK" w:cs="方正仿宋_GBK" w:hAnsi="Times New Roman" w:hint="eastAsia"/>
          <w:b w:val="0"/>
          <w:bCs w:val="0"/>
          <w:highlight w:val="auto"/>
        </w:rPr>
        <w:t>】种方</w:t>
      </w:r>
      <w:r>
        <w:rPr>
          <w:rFonts w:ascii="Times New Roman" w:eastAsia="方正仿宋_GBK" w:cs="方正仿宋_GBK" w:hAnsi="Times New Roman" w:hint="eastAsia"/>
          <w:b w:val="0"/>
          <w:bCs w:val="0"/>
        </w:rPr>
        <w:t>式支付：</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lang w:val="en-US" w:eastAsia="zh-CN"/>
        </w:rPr>
        <w:t>7</w:t>
      </w:r>
      <w:r>
        <w:rPr>
          <w:rFonts w:ascii="Times New Roman" w:eastAsia="方正仿宋_GBK" w:cs="方正仿宋_GBK" w:hAnsi="Times New Roman" w:hint="eastAsia"/>
          <w:b w:val="0"/>
          <w:bCs w:val="0"/>
        </w:rPr>
        <w:t>.4.1银行转账。卖方指定的收款银行账户信息如下：</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开户银行：【</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 xml:space="preserve"> 】</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银行地址：【</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 xml:space="preserve"> 】</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户    名：【</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账    号：【</w:t>
      </w:r>
      <w:r>
        <w:rPr>
          <w:rFonts w:ascii="Times New Roman" w:eastAsia="方正仿宋_GBK" w:cs="方正仿宋_GBK" w:hAnsi="Times New Roman" w:hint="eastAsia"/>
          <w:b w:val="0"/>
          <w:bCs w:val="0"/>
          <w:lang w:val="en-US" w:eastAsia="zh-CN"/>
        </w:rPr>
        <w:t xml:space="preserve">  </w:t>
      </w:r>
      <w:r>
        <w:rPr>
          <w:rFonts w:ascii="Times New Roman" w:eastAsia="方正仿宋_GBK" w:cs="方正仿宋_GBK" w:hAnsi="Times New Roman" w:hint="eastAsia"/>
          <w:b w:val="0"/>
          <w:bCs w:val="0"/>
        </w:rPr>
        <w:t>】</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若卖方随意改变账户，买方将拒付货款，由此引起的延期付款责任及相关的损失由卖方承担。</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highlight w:val="auto"/>
        </w:rPr>
        <w:t>第</w:t>
      </w:r>
      <w:r>
        <w:rPr>
          <w:rFonts w:ascii="Times New Roman" w:eastAsia="方正仿宋_GBK" w:cs="方正仿宋_GBK" w:hAnsi="Times New Roman" w:hint="eastAsia"/>
          <w:b/>
          <w:bCs/>
          <w:strike w:val="0"/>
          <w:dstrike w:val="0"/>
          <w:color w:val="auto"/>
          <w:lang w:val="en-US" w:eastAsia="zh-CN"/>
          <w:highlight w:val="auto"/>
        </w:rPr>
        <w:t>八</w:t>
      </w:r>
      <w:r>
        <w:rPr>
          <w:rFonts w:ascii="Times New Roman" w:eastAsia="方正仿宋_GBK" w:cs="方正仿宋_GBK" w:hAnsi="Times New Roman" w:hint="eastAsia"/>
          <w:b/>
          <w:bCs/>
          <w:color w:val="auto"/>
          <w:highlight w:val="auto"/>
        </w:rPr>
        <w:t xml:space="preserve">条  </w:t>
      </w:r>
      <w:r>
        <w:rPr>
          <w:rFonts w:ascii="Times New Roman" w:eastAsia="方正仿宋_GBK" w:cs="方正仿宋_GBK" w:hAnsi="Times New Roman" w:hint="eastAsia"/>
          <w:b/>
          <w:bCs/>
          <w:color w:val="auto"/>
        </w:rPr>
        <w:t>票据凭证条款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strike w:val="0"/>
          <w:dstrike w:val="0"/>
          <w:color w:val="auto"/>
          <w:lang w:val="en-US" w:eastAsia="zh-CN"/>
        </w:rPr>
        <w:t>8</w:t>
      </w:r>
      <w:r>
        <w:rPr>
          <w:rFonts w:ascii="Times New Roman" w:eastAsia="方正仿宋_GBK" w:cs="方正仿宋_GBK" w:hAnsi="Times New Roman" w:hint="eastAsia"/>
          <w:b w:val="0"/>
          <w:bCs w:val="0"/>
          <w:color w:val="auto"/>
        </w:rPr>
        <w:t>.1票据凭证种类</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color w:val="auto"/>
        </w:rPr>
        <w:t>卖方应向买</w:t>
      </w:r>
      <w:r>
        <w:rPr>
          <w:rFonts w:ascii="Times New Roman" w:eastAsia="方正仿宋_GBK" w:cs="方正仿宋_GBK" w:hAnsi="Times New Roman" w:hint="eastAsia"/>
          <w:b w:val="0"/>
          <w:bCs w:val="0"/>
        </w:rPr>
        <w:t>方开具以下第【增值税专用发票】类票据凭证：</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sym w:font="Wingdings 2" w:char="A3"/>
      </w:r>
      <w:r>
        <w:rPr>
          <w:rFonts w:ascii="Times New Roman" w:eastAsia="方正仿宋_GBK" w:cs="方正仿宋_GBK" w:hAnsi="Times New Roman" w:hint="eastAsia"/>
          <w:b w:val="0"/>
          <w:bCs w:val="0"/>
        </w:rPr>
        <w:t>增值税专用发票。买方付款前，卖方应出具足额、合规、合法的增值税专用发票。如果增值税专用发票认证不成功，买方有权延迟付款并要求重新开具增值税专用发票。</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sym w:font="Wingdings 2" w:char="52"/>
      </w:r>
      <w:r>
        <w:rPr>
          <w:rFonts w:ascii="Times New Roman" w:eastAsia="方正仿宋_GBK" w:cs="方正仿宋_GBK" w:hAnsi="Times New Roman" w:hint="eastAsia"/>
          <w:b w:val="0"/>
          <w:bCs w:val="0"/>
        </w:rPr>
        <w:t>增值税普通发票。买方付款前，卖方出应具足额、合规、合法的增值税普通发票。</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sym w:font="Wingdings 2" w:char="F02A"/>
      </w:r>
      <w:r>
        <w:rPr>
          <w:rFonts w:ascii="Times New Roman" w:eastAsia="方正仿宋_GBK" w:cs="方正仿宋_GBK" w:hAnsi="Times New Roman" w:hint="eastAsia"/>
          <w:b w:val="0"/>
          <w:bCs w:val="0"/>
        </w:rPr>
        <w:t>行政事业性收费收据。买方付款前，卖方应出具足额、合规、合法的行政事业性收费收据。</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strike w:val="0"/>
          <w:dstrike w:val="0"/>
          <w:color w:val="auto"/>
          <w:lang w:val="en-US" w:eastAsia="zh-CN"/>
        </w:rPr>
        <w:t>8</w:t>
      </w:r>
      <w:r>
        <w:rPr>
          <w:rFonts w:ascii="Times New Roman" w:eastAsia="方正仿宋_GBK" w:cs="方正仿宋_GBK" w:hAnsi="Times New Roman" w:hint="eastAsia"/>
          <w:b w:val="0"/>
          <w:bCs w:val="0"/>
          <w:color w:val="auto"/>
        </w:rPr>
        <w:t>.2</w:t>
      </w:r>
      <w:r>
        <w:rPr>
          <w:rFonts w:ascii="Times New Roman" w:eastAsia="方正仿宋_GBK" w:cs="方正仿宋_GBK" w:hAnsi="Times New Roman" w:hint="eastAsia"/>
          <w:b w:val="0"/>
          <w:bCs w:val="0"/>
        </w:rPr>
        <w:t>票据凭证送达时限</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rPr>
        <w:t>卖方应自票据凭证开具之日起7个工作日内送达到买方指定地点。若卖方未能在约定时间内将票据凭证递</w:t>
      </w:r>
      <w:r>
        <w:rPr>
          <w:rFonts w:ascii="Times New Roman" w:eastAsia="方正仿宋_GBK" w:cs="方正仿宋_GBK" w:hAnsi="Times New Roman" w:hint="eastAsia"/>
          <w:b w:val="0"/>
          <w:bCs w:val="0"/>
          <w:color w:val="auto"/>
        </w:rPr>
        <w:t>送至买方规定的地点，如卖方开具增值税专用发票的，买方在履行完内部审核程序后超过360天的专用发票抵扣期限的，卖方同意承担买方由此产生的额外增值税税负上升。卖方可以选择以下方式送达：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sym w:font="Wingdings 2" w:char="F02A"/>
      </w:r>
      <w:r>
        <w:rPr>
          <w:rFonts w:ascii="Times New Roman" w:eastAsia="方正仿宋_GBK" w:cs="方正仿宋_GBK" w:hAnsi="Times New Roman" w:hint="eastAsia"/>
          <w:b w:val="0"/>
          <w:bCs w:val="0"/>
          <w:color w:val="auto"/>
        </w:rPr>
        <w:t>邮寄送达，则请将票据凭证寄往如下地址：</w:t>
      </w:r>
    </w:p>
    <w:p>
      <w:pPr>
        <w:bidi w:val="0"/>
        <w:rPr>
          <w:rFonts w:ascii="Times New Roman" w:eastAsia="方正仿宋_GBK" w:cs="方正仿宋_GBK" w:hAnsi="Times New Roman" w:hint="eastAsia"/>
          <w:b w:val="0"/>
          <w:bCs w:val="0"/>
          <w:color w:val="auto"/>
          <w:lang w:val="en-US" w:eastAsia="zh-CN"/>
        </w:rPr>
      </w:pPr>
      <w:r>
        <w:rPr>
          <w:rFonts w:ascii="Times New Roman" w:eastAsia="方正仿宋_GBK" w:cs="方正仿宋_GBK" w:hAnsi="Times New Roman" w:hint="eastAsia"/>
          <w:b w:val="0"/>
          <w:bCs w:val="0"/>
          <w:color w:val="auto"/>
        </w:rPr>
        <w:t>地址：</w:t>
      </w:r>
      <w:r>
        <w:rPr>
          <w:rFonts w:ascii="方正仿宋_GBK" w:eastAsia="方正仿宋_GBK" w:cs="方正仿宋_GBK" w:hint="eastAsia"/>
          <w:lang w:val="en-US" w:eastAsia="zh-CN"/>
        </w:rPr>
        <w:t>重庆市黔江区正阳街道积富社区香山路11号</w:t>
      </w:r>
      <w:r>
        <w:rPr>
          <w:rFonts w:ascii="Times New Roman" w:eastAsia="方正仿宋_GBK" w:cs="方正仿宋_GBK" w:hAnsi="Times New Roman" w:hint="eastAsia"/>
          <w:b w:val="0"/>
          <w:bCs w:val="0"/>
          <w:color w:val="auto"/>
        </w:rPr>
        <w:t>。</w:t>
      </w:r>
      <w:r>
        <w:rPr>
          <w:rFonts w:ascii="Times New Roman" w:eastAsia="方正仿宋_GBK" w:cs="方正仿宋_GBK" w:hAnsi="Times New Roman" w:hint="eastAsia"/>
          <w:b w:val="0"/>
          <w:bCs w:val="0"/>
          <w:color w:val="auto"/>
          <w:lang w:val="en-US" w:eastAsia="zh-CN"/>
        </w:rPr>
        <w:t xml:space="preserve"> </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sym w:font="Wingdings 2" w:char="F02A"/>
      </w:r>
      <w:r>
        <w:rPr>
          <w:rFonts w:ascii="Times New Roman" w:eastAsia="方正仿宋_GBK" w:cs="方正仿宋_GBK" w:hAnsi="Times New Roman" w:hint="eastAsia"/>
          <w:b w:val="0"/>
          <w:bCs w:val="0"/>
          <w:color w:val="auto"/>
        </w:rPr>
        <w:t>实物送达，则请将票据凭证送往如下地址，并履行签收手续，确保票据凭证的安全与完整。</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地址：____________。收件人：___________。收件人电话：__________。</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相关票据凭证寄送事宜，请联系卖方联系人如下：</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联系人：</w:t>
      </w:r>
      <w:r>
        <w:rPr>
          <w:rFonts w:ascii="Times New Roman" w:eastAsia="方正仿宋_GBK" w:cs="方正仿宋_GBK" w:hAnsi="Times New Roman" w:hint="eastAsia"/>
          <w:b w:val="0"/>
          <w:bCs w:val="0"/>
          <w:color w:val="auto"/>
          <w:lang w:val="en-US" w:eastAsia="zh-CN"/>
        </w:rPr>
        <w:t xml:space="preserve"> </w:t>
      </w:r>
      <w:r>
        <w:rPr>
          <w:rFonts w:ascii="Times New Roman" w:eastAsia="方正仿宋_GBK" w:cs="方正仿宋_GBK" w:hAnsi="Times New Roman" w:hint="eastAsia"/>
          <w:b w:val="0"/>
          <w:bCs w:val="0"/>
          <w:color w:val="auto"/>
        </w:rPr>
        <w:t>___。联系人电话：</w:t>
      </w:r>
      <w:r>
        <w:rPr>
          <w:rFonts w:ascii="Times New Roman" w:eastAsia="方正仿宋_GBK" w:cs="方正仿宋_GBK" w:hAnsi="Times New Roman" w:hint="eastAsia"/>
          <w:b w:val="0"/>
          <w:bCs w:val="0"/>
          <w:color w:val="auto"/>
          <w:lang w:val="en-US" w:eastAsia="zh-CN"/>
        </w:rPr>
        <w:t xml:space="preserve">  </w:t>
      </w:r>
      <w:r>
        <w:rPr>
          <w:rFonts w:ascii="Times New Roman" w:eastAsia="方正仿宋_GBK" w:cs="方正仿宋_GBK" w:hAnsi="Times New Roman" w:hint="eastAsia"/>
          <w:b w:val="0"/>
          <w:bCs w:val="0"/>
          <w:color w:val="auto"/>
        </w:rPr>
        <w:t>_。</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strike w:val="0"/>
          <w:dstrike w:val="0"/>
          <w:color w:val="auto"/>
          <w:lang w:val="en-US" w:eastAsia="zh-CN"/>
        </w:rPr>
        <w:t>8</w:t>
      </w:r>
      <w:r>
        <w:rPr>
          <w:rFonts w:ascii="Times New Roman" w:eastAsia="方正仿宋_GBK" w:cs="方正仿宋_GBK" w:hAnsi="Times New Roman" w:hint="eastAsia"/>
          <w:b w:val="0"/>
          <w:bCs w:val="0"/>
          <w:color w:val="auto"/>
        </w:rPr>
        <w:t>.3票据凭证丢失条款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若票据凭证丢失，卖方需按照国家法律、法规、规章、政策等规定重新取得相关凭证。丢失方因丢失票据凭证给对方造成损失的，由丢失方承担。</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strike w:val="0"/>
          <w:dstrike w:val="0"/>
          <w:color w:val="auto"/>
          <w:lang w:val="en-US" w:eastAsia="zh-CN"/>
        </w:rPr>
        <w:t>8</w:t>
      </w:r>
      <w:r>
        <w:rPr>
          <w:rFonts w:ascii="Times New Roman" w:eastAsia="方正仿宋_GBK" w:cs="方正仿宋_GBK" w:hAnsi="Times New Roman" w:hint="eastAsia"/>
          <w:b w:val="0"/>
          <w:bCs w:val="0"/>
          <w:color w:val="auto"/>
        </w:rPr>
        <w:t>.4增值税专用发票违约条款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卖方提供的增值税专用发票没有通过税务部门认证或者不符合相关法律法规的规定，造成买方不能抵扣的，卖方应向买方重新开具合法合规的增值税专用发票；若不重新开具的，卖方应向买方支付未通过认证发票中载明的税款金额以及因发票不合规导致相关费用不能作企业所得税税前扣除而增加的企业所得税税额（税率25%）作为违约金。违约金不足以弥补买方损失的，卖方还应予以赔偿。卖方未按买方要求支付违约金或赔偿金的，买方有权从尚未支付给卖方的合同款项中直接予以扣除，买方亦有权终止合同。</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rPr>
        <w:t>第</w:t>
      </w:r>
      <w:r>
        <w:rPr>
          <w:rFonts w:ascii="Times New Roman" w:eastAsia="方正仿宋_GBK" w:cs="方正仿宋_GBK" w:hAnsi="Times New Roman" w:hint="eastAsia"/>
          <w:b/>
          <w:bCs/>
          <w:strike w:val="0"/>
          <w:dstrike w:val="0"/>
          <w:color w:val="auto"/>
          <w:lang w:val="en-US" w:eastAsia="zh-CN"/>
        </w:rPr>
        <w:t>九</w:t>
      </w:r>
      <w:r>
        <w:rPr>
          <w:rFonts w:ascii="Times New Roman" w:eastAsia="方正仿宋_GBK" w:cs="方正仿宋_GBK" w:hAnsi="Times New Roman" w:hint="eastAsia"/>
          <w:b/>
          <w:bCs/>
          <w:color w:val="auto"/>
        </w:rPr>
        <w:t>条  权利凭证的交付</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货物附有权利凭证的，卖方应在交付货物时将权利凭证一并交付。否则视为未能完全交付。</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rPr>
        <w:t>第十条  维护、维修、保养、质量保证</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卖方应按照本合同约定、双方另行约定、技术资料内容及其他单方承诺内容对货物提供维护、维修、保养服务并承担质量保证义务。</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bCs/>
          <w:color w:val="auto"/>
        </w:rPr>
        <w:t>第十</w:t>
      </w:r>
      <w:r>
        <w:rPr>
          <w:rFonts w:ascii="Times New Roman" w:eastAsia="方正仿宋_GBK" w:cs="方正仿宋_GBK" w:hAnsi="Times New Roman" w:hint="eastAsia"/>
          <w:b/>
          <w:bCs/>
          <w:strike w:val="0"/>
          <w:dstrike w:val="0"/>
          <w:color w:val="auto"/>
          <w:lang w:val="en-US" w:eastAsia="zh-CN"/>
        </w:rPr>
        <w:t>一</w:t>
      </w:r>
      <w:r>
        <w:rPr>
          <w:rFonts w:ascii="Times New Roman" w:eastAsia="方正仿宋_GBK" w:cs="方正仿宋_GBK" w:hAnsi="Times New Roman" w:hint="eastAsia"/>
          <w:b/>
          <w:bCs/>
          <w:color w:val="auto"/>
        </w:rPr>
        <w:t>条  技术资料</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货物附有技术资料的，卖方应在交付货物时将技术资料一并交付。否则视为未能完全交付。技术资料内容构成卖方对货物性能、质量等方面的承诺，但与本合同</w:t>
      </w:r>
      <w:r>
        <w:rPr>
          <w:rFonts w:ascii="Times New Roman" w:eastAsia="方正仿宋_GBK" w:cs="方正仿宋_GBK" w:hAnsi="Times New Roman" w:hint="eastAsia"/>
          <w:b w:val="0"/>
          <w:bCs w:val="0"/>
          <w:color w:val="auto"/>
          <w:lang w:val="en-US" w:eastAsia="zh-CN"/>
        </w:rPr>
        <w:t>2</w:t>
      </w:r>
      <w:r>
        <w:rPr>
          <w:rFonts w:ascii="Times New Roman" w:eastAsia="方正仿宋_GBK" w:cs="方正仿宋_GBK" w:hAnsi="Times New Roman" w:hint="eastAsia"/>
          <w:b w:val="0"/>
          <w:bCs w:val="0"/>
          <w:color w:val="auto"/>
        </w:rPr>
        <w:t>.3条约定相冲突的部分，以</w:t>
      </w:r>
      <w:r>
        <w:rPr>
          <w:rFonts w:ascii="Times New Roman" w:eastAsia="方正仿宋_GBK" w:cs="方正仿宋_GBK" w:hAnsi="Times New Roman" w:hint="eastAsia"/>
          <w:b w:val="0"/>
          <w:bCs w:val="0"/>
          <w:color w:val="auto"/>
          <w:lang w:val="en-US" w:eastAsia="zh-CN"/>
        </w:rPr>
        <w:t>2</w:t>
      </w:r>
      <w:r>
        <w:rPr>
          <w:rFonts w:ascii="Times New Roman" w:eastAsia="方正仿宋_GBK" w:cs="方正仿宋_GBK" w:hAnsi="Times New Roman" w:hint="eastAsia"/>
          <w:b w:val="0"/>
          <w:bCs w:val="0"/>
          <w:color w:val="auto"/>
        </w:rPr>
        <w:t>.3条为准。</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bCs/>
          <w:color w:val="auto"/>
        </w:rPr>
        <w:t>第十</w:t>
      </w:r>
      <w:r>
        <w:rPr>
          <w:rFonts w:ascii="Times New Roman" w:eastAsia="方正仿宋_GBK" w:cs="方正仿宋_GBK" w:hAnsi="Times New Roman" w:hint="eastAsia"/>
          <w:b/>
          <w:bCs/>
          <w:strike w:val="0"/>
          <w:dstrike w:val="0"/>
          <w:color w:val="auto"/>
          <w:lang w:val="en-US" w:eastAsia="zh-CN"/>
        </w:rPr>
        <w:t>二</w:t>
      </w:r>
      <w:r>
        <w:rPr>
          <w:rFonts w:ascii="Times New Roman" w:eastAsia="方正仿宋_GBK" w:cs="方正仿宋_GBK" w:hAnsi="Times New Roman" w:hint="eastAsia"/>
          <w:b/>
          <w:bCs/>
          <w:color w:val="auto"/>
        </w:rPr>
        <w:t>条  违约责任</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.1除下列第1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2项迟延交付的情形外，卖方违反本合同约定的，经买方书面催告在催告限定的期限内，或者虽无明确期限在合理期限内卖方仍未按约履行或仍未采取补救措施恢复到买方根据本协议所能合理期待的状态的，买方可选择：1）单方解除协议并追究卖方总货款20%的违约金责任；或者2）要求卖方继续履行并追究其总货款3%的违约金责任。违约金不足以弥补守约方损失的，就不足部分守约方可继续向违约方追偿。</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.2卖方违反合同规定迟延交付的，应按以下</w:t>
      </w:r>
      <w:r>
        <w:rPr>
          <w:rFonts w:ascii="Times New Roman" w:eastAsia="方正仿宋_GBK" w:cs="方正仿宋_GBK" w:hAnsi="Times New Roman" w:hint="eastAsia"/>
          <w:b w:val="0"/>
          <w:bCs w:val="0"/>
        </w:rPr>
        <w:t>规定向买方支付迟延交付违约金：</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（1）迟交【1】-【5】日（含本数），每日支付迟交货物货款的【5%】；</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（2）迟交【6】-【10】日（含本数），每日支付迟交货物货款的【10%】；</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（3）迟交【11】日以上（含本数），每日支付迟交货物货款的【20%】。</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rPr>
        <w:t>迟延交付违约金总额达到合同第3.2条所约定价款的【</w:t>
      </w:r>
      <w:r>
        <w:rPr>
          <w:rFonts w:ascii="Times New Roman" w:eastAsia="方正仿宋_GBK" w:cs="方正仿宋_GBK" w:hAnsi="Times New Roman" w:hint="eastAsia"/>
          <w:b w:val="0"/>
          <w:bCs w:val="0"/>
          <w:lang w:val="en-US" w:eastAsia="zh-CN"/>
        </w:rPr>
        <w:t>20</w:t>
      </w:r>
      <w:r>
        <w:rPr>
          <w:rFonts w:ascii="Times New Roman" w:eastAsia="方正仿宋_GBK" w:cs="方正仿宋_GBK" w:hAnsi="Times New Roman" w:hint="eastAsia"/>
          <w:b w:val="0"/>
          <w:bCs w:val="0"/>
        </w:rPr>
        <w:t>】%或者对买方实现合同目的有重大影响的货物迟交超过【</w:t>
      </w:r>
      <w:r>
        <w:rPr>
          <w:rFonts w:ascii="Times New Roman" w:eastAsia="方正仿宋_GBK" w:cs="方正仿宋_GBK" w:hAnsi="Times New Roman" w:hint="eastAsia"/>
          <w:b w:val="0"/>
          <w:bCs w:val="0"/>
          <w:lang w:val="en-US" w:eastAsia="zh-CN"/>
        </w:rPr>
        <w:t>3</w:t>
      </w:r>
      <w:r>
        <w:rPr>
          <w:rFonts w:ascii="Times New Roman" w:eastAsia="方正仿宋_GBK" w:cs="方正仿宋_GBK" w:hAnsi="Times New Roman" w:hint="eastAsia"/>
          <w:b w:val="0"/>
          <w:bCs w:val="0"/>
        </w:rPr>
        <w:t>】个月（含本数）时，买方有权单方解除合同并可以依其认为适当的条件和方法购买与未</w:t>
      </w:r>
      <w:r>
        <w:rPr>
          <w:rFonts w:ascii="Times New Roman" w:eastAsia="方正仿宋_GBK" w:cs="方正仿宋_GBK" w:hAnsi="Times New Roman" w:hint="eastAsia"/>
          <w:b w:val="0"/>
          <w:bCs w:val="0"/>
          <w:color w:val="auto"/>
        </w:rPr>
        <w:t>交货物类似的货物，由此发生的额外费用由卖方承担。买方部分终止合同的，卖方应继续执行合同中未终止的部分。买方单方解除合同的，已经产生的违约金不予免除，卖方仍须向买方支付。</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迟延交货包括本合同第七条约定的初步验收及做出交付确认后合理期限内发现货物存在问题的情形。</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3卖方违约状态存续期间，或卖方违约后未采取补救措施恢复到买方根据本合同所能合理期待的状态之前，买方有权暂停履行本合同。对于此种暂停，买方无需另行通知卖方，由此而发生的一切费用、损失和索赔将由卖方承担。买方行使暂停权利后，有权停付到期应向卖方支付的暂停部分的合同款项，并有权索回已支付给卖方的暂停部分的合同款项。</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.4卖方违约的，买方有权依据本合同第十条之约定扣减价款。</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.5卖方违约行为符合上述多项违约责任约定的，可以重复适用。</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.6 卖方明确表示无法供货或买方有理由认为卖方无法供货的，买方有权解除全部或部分合同。卖方应退还买方已支付的解除部分的合同价款，并向买方支付相当于解除部分合同货款总额20％的违约金。未解除部分仍适用本合同其他约定。</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.7 除因不可抗力，买方如无正当理由，未按本合同所规定的付款时间或后经双方书面协议修订的时间付款的，卖方可以催告买方在合理期限内支付。经催告仍不支付的,每迟延一日，买方应向卖方支付当期应付款金额万分之一的违约金，直至支付为止，但买方应支付的违约金金额的上限为应付款金额的10%。</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bookmarkStart w:id="500" w:name="_Hlk67852108"/>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.8本合同所称损失应包括因违约行为所导致的守约方的损失，包括但不限于：</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.8.1守约方为处理此事支付的费用，包括但不限于律师代理费、诉讼费、仲裁费、保全担保费/保险费、差旅费、材料费、调查费、评估费、鉴定费等所有合理费用和开支等。</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2</w:t>
      </w:r>
      <w:r>
        <w:rPr>
          <w:rFonts w:ascii="Times New Roman" w:eastAsia="方正仿宋_GBK" w:cs="方正仿宋_GBK" w:hAnsi="Times New Roman" w:hint="eastAsia"/>
          <w:b w:val="0"/>
          <w:bCs w:val="0"/>
          <w:color w:val="auto"/>
        </w:rPr>
        <w:t>.8.2守约方</w:t>
      </w:r>
      <w:r>
        <w:rPr>
          <w:rFonts w:ascii="Times New Roman" w:eastAsia="方正仿宋_GBK" w:cs="方正仿宋_GBK" w:hAnsi="Times New Roman" w:hint="eastAsia"/>
          <w:b w:val="0"/>
          <w:bCs w:val="0"/>
        </w:rPr>
        <w:t>因此而遭受直接损失、间接损失，包括但不限于商业利益的损失、合理利润的损失等。</w:t>
      </w:r>
      <w:bookmarkEnd w:id="500"/>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rPr>
        <w:t>第十</w:t>
      </w:r>
      <w:r>
        <w:rPr>
          <w:rFonts w:ascii="Times New Roman" w:eastAsia="方正仿宋_GBK" w:cs="方正仿宋_GBK" w:hAnsi="Times New Roman" w:hint="eastAsia"/>
          <w:b/>
          <w:bCs/>
          <w:strike w:val="0"/>
          <w:dstrike w:val="0"/>
          <w:color w:val="auto"/>
          <w:lang w:val="en-US" w:eastAsia="zh-CN"/>
        </w:rPr>
        <w:t>三</w:t>
      </w:r>
      <w:r>
        <w:rPr>
          <w:rFonts w:ascii="Times New Roman" w:eastAsia="方正仿宋_GBK" w:cs="方正仿宋_GBK" w:hAnsi="Times New Roman" w:hint="eastAsia"/>
          <w:b/>
          <w:bCs/>
          <w:color w:val="auto"/>
        </w:rPr>
        <w:t>条  合同的生效</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本合同生效条件为以下第【1</w:t>
      </w:r>
      <w:r>
        <w:rPr>
          <w:rFonts w:ascii="Times New Roman" w:eastAsia="方正仿宋_GBK" w:cs="方正仿宋_GBK" w:hAnsi="Times New Roman" w:hint="eastAsia"/>
          <w:b w:val="0"/>
          <w:bCs w:val="0"/>
          <w:color w:val="auto"/>
          <w:lang w:val="en-US" w:eastAsia="zh-CN"/>
        </w:rPr>
        <w:t>5</w:t>
      </w:r>
      <w:r>
        <w:rPr>
          <w:rFonts w:ascii="Times New Roman" w:eastAsia="方正仿宋_GBK" w:cs="方正仿宋_GBK" w:hAnsi="Times New Roman" w:hint="eastAsia"/>
          <w:b w:val="0"/>
          <w:bCs w:val="0"/>
          <w:color w:val="auto"/>
        </w:rPr>
        <w:t>.1】项：</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3</w:t>
      </w:r>
      <w:r>
        <w:rPr>
          <w:rFonts w:ascii="Times New Roman" w:eastAsia="方正仿宋_GBK" w:cs="方正仿宋_GBK" w:hAnsi="Times New Roman" w:hint="eastAsia"/>
          <w:b w:val="0"/>
          <w:bCs w:val="0"/>
          <w:strike w:val="0"/>
          <w:dstrike w:val="0"/>
          <w:color w:val="auto"/>
        </w:rPr>
        <w:t>.</w:t>
      </w:r>
      <w:r>
        <w:rPr>
          <w:rFonts w:ascii="Times New Roman" w:eastAsia="方正仿宋_GBK" w:cs="方正仿宋_GBK" w:hAnsi="Times New Roman" w:hint="eastAsia"/>
          <w:b w:val="0"/>
          <w:bCs w:val="0"/>
          <w:color w:val="auto"/>
        </w:rPr>
        <w:t>1本合同自买卖双方签署之日起生效。</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3</w:t>
      </w:r>
      <w:r>
        <w:rPr>
          <w:rFonts w:ascii="Times New Roman" w:eastAsia="方正仿宋_GBK" w:cs="方正仿宋_GBK" w:hAnsi="Times New Roman" w:hint="eastAsia"/>
          <w:b w:val="0"/>
          <w:bCs w:val="0"/>
          <w:color w:val="auto"/>
        </w:rPr>
        <w:t>.2本合同自买方支付第一笔款项之日生效。</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rPr>
        <w:t>第十</w:t>
      </w:r>
      <w:r>
        <w:rPr>
          <w:rFonts w:ascii="Times New Roman" w:eastAsia="方正仿宋_GBK" w:cs="方正仿宋_GBK" w:hAnsi="Times New Roman" w:hint="eastAsia"/>
          <w:b/>
          <w:bCs/>
          <w:strike w:val="0"/>
          <w:dstrike w:val="0"/>
          <w:color w:val="auto"/>
          <w:lang w:val="en-US" w:eastAsia="zh-CN"/>
        </w:rPr>
        <w:t>四</w:t>
      </w:r>
      <w:r>
        <w:rPr>
          <w:rFonts w:ascii="Times New Roman" w:eastAsia="方正仿宋_GBK" w:cs="方正仿宋_GBK" w:hAnsi="Times New Roman" w:hint="eastAsia"/>
          <w:b/>
          <w:bCs/>
          <w:color w:val="auto"/>
        </w:rPr>
        <w:t>条  合同的变更</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本合同未尽事宜或合同变更，经双方协商一致后签订补充合同，补充合同与本合同具有同等法律效力。</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rPr>
        <w:t>第十</w:t>
      </w:r>
      <w:r>
        <w:rPr>
          <w:rFonts w:ascii="Times New Roman" w:eastAsia="方正仿宋_GBK" w:cs="方正仿宋_GBK" w:hAnsi="Times New Roman" w:hint="eastAsia"/>
          <w:b/>
          <w:bCs/>
          <w:strike w:val="0"/>
          <w:dstrike w:val="0"/>
          <w:color w:val="auto"/>
          <w:lang w:val="en-US" w:eastAsia="zh-CN"/>
        </w:rPr>
        <w:t>五</w:t>
      </w:r>
      <w:r>
        <w:rPr>
          <w:rFonts w:ascii="Times New Roman" w:eastAsia="方正仿宋_GBK" w:cs="方正仿宋_GBK" w:hAnsi="Times New Roman" w:hint="eastAsia"/>
          <w:b/>
          <w:bCs/>
          <w:color w:val="auto"/>
        </w:rPr>
        <w:t>条  合同解释</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5</w:t>
      </w:r>
      <w:r>
        <w:rPr>
          <w:rFonts w:ascii="Times New Roman" w:eastAsia="方正仿宋_GBK" w:cs="方正仿宋_GBK" w:hAnsi="Times New Roman" w:hint="eastAsia"/>
          <w:b w:val="0"/>
          <w:bCs w:val="0"/>
          <w:color w:val="auto"/>
        </w:rPr>
        <w:t>.1合同未列入之条款，适用《中华人民共和国民法典》及相关司法解释。</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1</w:t>
      </w:r>
      <w:r>
        <w:rPr>
          <w:rFonts w:ascii="Times New Roman" w:eastAsia="方正仿宋_GBK" w:cs="方正仿宋_GBK" w:hAnsi="Times New Roman" w:hint="eastAsia"/>
          <w:b w:val="0"/>
          <w:bCs w:val="0"/>
          <w:strike w:val="0"/>
          <w:dstrike w:val="0"/>
          <w:color w:val="auto"/>
          <w:lang w:val="en-US" w:eastAsia="zh-CN"/>
        </w:rPr>
        <w:t>5</w:t>
      </w:r>
      <w:r>
        <w:rPr>
          <w:rFonts w:ascii="Times New Roman" w:eastAsia="方正仿宋_GBK" w:cs="方正仿宋_GBK" w:hAnsi="Times New Roman" w:hint="eastAsia"/>
          <w:b w:val="0"/>
          <w:bCs w:val="0"/>
          <w:color w:val="auto"/>
        </w:rPr>
        <w:t>.2合同中的标题仅为参考而设，并不构成本合同中任何及所有条款的含义、释义或结构的组成部分，也不对其产生任何影响。</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bCs/>
          <w:color w:val="auto"/>
        </w:rPr>
        <w:t>第</w:t>
      </w:r>
      <w:r>
        <w:rPr>
          <w:rFonts w:ascii="Times New Roman" w:eastAsia="方正仿宋_GBK" w:cs="方正仿宋_GBK" w:hAnsi="Times New Roman" w:hint="eastAsia"/>
          <w:b/>
          <w:bCs/>
          <w:color w:val="auto"/>
          <w:lang w:val="en-US" w:eastAsia="zh-CN"/>
        </w:rPr>
        <w:t>十</w:t>
      </w:r>
      <w:r>
        <w:rPr>
          <w:rFonts w:ascii="Times New Roman" w:eastAsia="方正仿宋_GBK" w:cs="方正仿宋_GBK" w:hAnsi="Times New Roman" w:hint="eastAsia"/>
          <w:b/>
          <w:bCs/>
          <w:strike w:val="0"/>
          <w:dstrike w:val="0"/>
          <w:color w:val="auto"/>
          <w:lang w:val="en-US" w:eastAsia="zh-CN"/>
        </w:rPr>
        <w:t>六</w:t>
      </w:r>
      <w:r>
        <w:rPr>
          <w:rFonts w:ascii="Times New Roman" w:eastAsia="方正仿宋_GBK" w:cs="方正仿宋_GBK" w:hAnsi="Times New Roman" w:hint="eastAsia"/>
          <w:b/>
          <w:bCs/>
          <w:color w:val="auto"/>
        </w:rPr>
        <w:t>条  争议解决</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因执行本合同而引起的一切争议，由双方通过友好协商解决；协商不成时向买方所在地有管辖权的法院提起诉讼。</w:t>
      </w:r>
    </w:p>
    <w:p>
      <w:pPr>
        <w:pageBreakBefore w:val="0"/>
        <w:widowControl w:val="0"/>
        <w:kinsoku/>
        <w:wordWrap w:val="0"/>
        <w:overflowPunct/>
        <w:topLinePunct w:val="0"/>
        <w:bidi w:val="0"/>
        <w:textAlignment w:val="auto"/>
        <w:rPr>
          <w:rFonts w:ascii="Times New Roman" w:eastAsia="方正仿宋_GBK" w:cs="方正仿宋_GBK" w:hAnsi="Times New Roman" w:hint="eastAsia"/>
          <w:b/>
          <w:bCs/>
          <w:color w:val="auto"/>
        </w:rPr>
      </w:pPr>
      <w:r>
        <w:rPr>
          <w:rFonts w:ascii="Times New Roman" w:eastAsia="方正仿宋_GBK" w:cs="方正仿宋_GBK" w:hAnsi="Times New Roman" w:hint="eastAsia"/>
          <w:b/>
          <w:bCs/>
          <w:color w:val="auto"/>
          <w:lang w:val="en-US" w:eastAsia="zh-CN"/>
        </w:rPr>
        <w:t>第十</w:t>
      </w:r>
      <w:r>
        <w:rPr>
          <w:rFonts w:ascii="Times New Roman" w:eastAsia="方正仿宋_GBK" w:cs="方正仿宋_GBK" w:hAnsi="Times New Roman" w:hint="eastAsia"/>
          <w:b/>
          <w:bCs/>
          <w:strike w:val="0"/>
          <w:dstrike w:val="0"/>
          <w:color w:val="auto"/>
          <w:lang w:val="en-US" w:eastAsia="zh-CN"/>
        </w:rPr>
        <w:t>七</w:t>
      </w:r>
      <w:r>
        <w:rPr>
          <w:rFonts w:ascii="Times New Roman" w:eastAsia="方正仿宋_GBK" w:cs="方正仿宋_GBK" w:hAnsi="Times New Roman" w:hint="eastAsia"/>
          <w:b/>
          <w:bCs/>
          <w:color w:val="auto"/>
          <w:lang w:val="en-US" w:eastAsia="zh-CN"/>
        </w:rPr>
        <w:t xml:space="preserve">条 </w:t>
      </w:r>
      <w:r>
        <w:rPr>
          <w:rFonts w:ascii="Times New Roman" w:eastAsia="方正仿宋_GBK" w:cs="方正仿宋_GBK" w:hAnsi="Times New Roman" w:hint="eastAsia"/>
          <w:b/>
          <w:bCs/>
          <w:color w:val="auto"/>
        </w:rPr>
        <w:t xml:space="preserve"> 附则</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color w:val="auto"/>
        </w:rPr>
      </w:pPr>
      <w:r>
        <w:rPr>
          <w:rFonts w:ascii="Times New Roman" w:eastAsia="方正仿宋_GBK" w:cs="方正仿宋_GBK" w:hAnsi="Times New Roman" w:hint="eastAsia"/>
          <w:b w:val="0"/>
          <w:bCs w:val="0"/>
          <w:color w:val="auto"/>
        </w:rPr>
        <w:t>本合同经甲、乙双方签字并盖章后生效。</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color w:val="auto"/>
        </w:rPr>
        <w:t>1.凡由本合同引起的</w:t>
      </w:r>
      <w:r>
        <w:rPr>
          <w:rFonts w:ascii="Times New Roman" w:eastAsia="方正仿宋_GBK" w:cs="方正仿宋_GBK" w:hAnsi="Times New Roman" w:hint="eastAsia"/>
          <w:b w:val="0"/>
          <w:bCs w:val="0"/>
        </w:rPr>
        <w:t>或与解释、执行本合同有关的任何争议，双方应首先通过友好协商或调解的方式解决。协商或调解不成时，合同双方一致同意，向乙方所在地有管辖权的人民法院提起诉讼解决。</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2.本合同壹式肆份，双方各执两份，均具有同等法律效力。</w:t>
      </w:r>
    </w:p>
    <w:p>
      <w:pPr>
        <w:pageBreakBefore w:val="0"/>
        <w:widowControl w:val="0"/>
        <w:kinsoku/>
        <w:wordWrap w:val="0"/>
        <w:overflowPunct/>
        <w:topLinePunct w:val="0"/>
        <w:bidi w:val="0"/>
        <w:textAlignment w:val="auto"/>
        <w:rPr>
          <w:rFonts w:ascii="Times New Roman" w:eastAsia="方正仿宋_GBK" w:cs="方正仿宋_GBK" w:hAnsi="Times New Roman" w:hint="eastAsia"/>
          <w:b w:val="0"/>
          <w:bCs w:val="0"/>
        </w:rPr>
      </w:pPr>
      <w:r>
        <w:rPr>
          <w:rFonts w:ascii="Times New Roman" w:eastAsia="方正仿宋_GBK" w:cs="方正仿宋_GBK" w:hAnsi="Times New Roman" w:hint="eastAsia"/>
          <w:b w:val="0"/>
          <w:bCs w:val="0"/>
        </w:rPr>
        <w:t xml:space="preserve">              </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Times New Roman" w:eastAsia="方正仿宋_GBK" w:cs="方正仿宋_GBK" w:hAnsi="Times New Roman" w:hint="eastAsia"/>
          <w:b w:val="0"/>
          <w:bCs w:val="0"/>
        </w:rPr>
        <w:t>（以下无正文，为双方签署页）</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p>
    <w:p>
      <w:pPr>
        <w:rPr>
          <w:rFonts w:ascii="方正仿宋_GBK" w:eastAsia="方正仿宋_GBK" w:cs="方正仿宋_GBK" w:hint="eastAsia"/>
          <w:b w:val="0"/>
          <w:bCs w:val="0"/>
        </w:rPr>
      </w:pPr>
      <w:r>
        <w:rPr>
          <w:rFonts w:ascii="方正仿宋_GBK" w:eastAsia="方正仿宋_GBK" w:cs="方正仿宋_GBK" w:hint="eastAsia"/>
          <w:b w:val="0"/>
          <w:bCs w:val="0"/>
        </w:rPr>
        <w:br w:type="page"/>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（本页无正文，为双方《货物采购合同》签署页）</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买方：</w:t>
      </w:r>
      <w:r>
        <w:rPr>
          <w:rFonts w:ascii="方正仿宋_GBK" w:eastAsia="方正仿宋_GBK" w:cs="方正仿宋_GBK" w:hint="eastAsia"/>
          <w:b w:val="0"/>
          <w:bCs w:val="0"/>
          <w:lang w:eastAsia="zh-CN"/>
        </w:rPr>
        <w:t>中华人民共和国黔江海关</w:t>
      </w:r>
      <w:r>
        <w:rPr>
          <w:rFonts w:ascii="方正仿宋_GBK" w:eastAsia="方正仿宋_GBK" w:cs="方正仿宋_GBK" w:hint="eastAsia"/>
          <w:b w:val="0"/>
          <w:bCs w:val="0"/>
        </w:rPr>
        <w:t>（盖章）</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负责人/授权签约人/经办人：           （签章）</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p>
    <w:p>
      <w:pPr>
        <w:pageBreakBefore w:val="0"/>
        <w:widowControl w:val="0"/>
        <w:kinsoku/>
        <w:wordWrap w:val="0"/>
        <w:overflowPunct/>
        <w:topLinePunct w:val="0"/>
        <w:bidi w:val="0"/>
        <w:textAlignment w:val="auto"/>
        <w:rPr>
          <w:rFonts w:ascii="方正仿宋_GBK" w:eastAsia="方正仿宋_GBK" w:cs="方正仿宋_GBK" w:hint="eastAsia"/>
          <w:b w:val="0"/>
          <w:bCs w:val="0"/>
        </w:rPr>
      </w:pP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卖方：【</w:t>
      </w:r>
      <w:r>
        <w:rPr>
          <w:rFonts w:ascii="方正仿宋_GBK" w:eastAsia="方正仿宋_GBK" w:cs="方正仿宋_GBK" w:hint="eastAsia"/>
          <w:b w:val="0"/>
          <w:bCs w:val="0"/>
          <w:lang w:val="en-US" w:eastAsia="zh-CN"/>
        </w:rPr>
        <w:t xml:space="preserve"> </w:t>
      </w:r>
      <w:r>
        <w:rPr>
          <w:rFonts w:ascii="方正仿宋_GBK" w:eastAsia="方正仿宋_GBK" w:cs="方正仿宋_GBK" w:hint="eastAsia"/>
          <w:b w:val="0"/>
          <w:bCs w:val="0"/>
        </w:rPr>
        <w:t>】（盖章）</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负责人/授权签约人/经办人：           （签章）</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签约时间：【</w:t>
      </w:r>
      <w:r>
        <w:rPr>
          <w:rFonts w:ascii="方正仿宋_GBK" w:eastAsia="方正仿宋_GBK" w:cs="方正仿宋_GBK" w:hint="eastAsia"/>
          <w:b w:val="0"/>
          <w:bCs w:val="0"/>
          <w:lang w:val="en-US" w:eastAsia="zh-CN"/>
        </w:rPr>
        <w:t xml:space="preserve"> </w:t>
      </w:r>
      <w:r>
        <w:rPr>
          <w:rFonts w:ascii="方正仿宋_GBK" w:eastAsia="方正仿宋_GBK" w:cs="方正仿宋_GBK" w:hint="eastAsia"/>
          <w:b w:val="0"/>
          <w:bCs w:val="0"/>
        </w:rPr>
        <w:t>】年【</w:t>
      </w:r>
      <w:r>
        <w:rPr>
          <w:rFonts w:ascii="方正仿宋_GBK" w:eastAsia="方正仿宋_GBK" w:cs="方正仿宋_GBK" w:hint="eastAsia"/>
          <w:b w:val="0"/>
          <w:bCs w:val="0"/>
          <w:lang w:val="en-US" w:eastAsia="zh-CN"/>
        </w:rPr>
        <w:t xml:space="preserve"> </w:t>
      </w:r>
      <w:r>
        <w:rPr>
          <w:rFonts w:ascii="方正仿宋_GBK" w:eastAsia="方正仿宋_GBK" w:cs="方正仿宋_GBK" w:hint="eastAsia"/>
          <w:b w:val="0"/>
          <w:bCs w:val="0"/>
        </w:rPr>
        <w:t>】月</w:t>
      </w:r>
    </w:p>
    <w:p>
      <w:pPr>
        <w:pageBreakBefore w:val="0"/>
        <w:widowControl w:val="0"/>
        <w:kinsoku/>
        <w:wordWrap w:val="0"/>
        <w:overflowPunct/>
        <w:topLinePunct w:val="0"/>
        <w:bidi w:val="0"/>
        <w:textAlignment w:val="auto"/>
        <w:rPr>
          <w:rFonts w:ascii="方正仿宋_GBK" w:eastAsia="方正仿宋_GBK" w:cs="方正仿宋_GBK" w:hint="eastAsia"/>
          <w:b w:val="0"/>
          <w:bCs w:val="0"/>
        </w:rPr>
      </w:pPr>
      <w:r>
        <w:rPr>
          <w:rFonts w:ascii="方正仿宋_GBK" w:eastAsia="方正仿宋_GBK" w:cs="方正仿宋_GBK" w:hint="eastAsia"/>
          <w:b w:val="0"/>
          <w:bCs w:val="0"/>
        </w:rPr>
        <w:t>签约地点：【</w:t>
      </w:r>
      <w:r>
        <w:rPr>
          <w:rFonts w:ascii="方正仿宋_GBK" w:eastAsia="方正仿宋_GBK" w:cs="方正仿宋_GBK" w:hint="eastAsia"/>
          <w:b w:val="0"/>
          <w:bCs w:val="0"/>
          <w:lang w:val="en-US" w:eastAsia="zh-CN"/>
        </w:rPr>
        <w:t>重庆市黔江区正阳街道香山路11号黔江海关</w:t>
      </w:r>
      <w:r>
        <w:rPr>
          <w:rFonts w:ascii="方正仿宋_GBK" w:eastAsia="方正仿宋_GBK" w:cs="方正仿宋_GBK" w:hint="eastAsia"/>
          <w:b w:val="0"/>
          <w:bCs w:val="0"/>
        </w:rPr>
        <w:t>】</w:t>
      </w:r>
    </w:p>
    <w:p>
      <w:pPr>
        <w:pageBreakBefore w:val="0"/>
        <w:widowControl w:val="0"/>
        <w:kinsoku/>
        <w:wordWrap w:val="0"/>
        <w:overflowPunct/>
        <w:topLinePunct w:val="0"/>
        <w:bidi w:val="0"/>
        <w:textAlignment w:val="auto"/>
        <w:rPr>
          <w:rFonts w:ascii="Times New Roman" w:hAnsi="Times New Roman" w:hint="eastAsia"/>
        </w:rPr>
      </w:pPr>
    </w:p>
    <w:p>
      <w:pPr>
        <w:pageBreakBefore w:val="0"/>
        <w:widowControl w:val="0"/>
        <w:kinsoku/>
        <w:wordWrap w:val="0"/>
        <w:overflowPunct/>
        <w:topLinePunct w:val="0"/>
        <w:bidi w:val="0"/>
        <w:textAlignment w:val="auto"/>
        <w:rPr>
          <w:rFonts w:ascii="Times New Roman" w:hAnsi="Times New Roman"/>
        </w:rPr>
        <w:sectPr>
          <w:footerReference w:type="default" r:id="rId5"/>
          <w:pgSz w:w="11906" w:h="16838"/>
          <w:pgMar w:top="1134" w:right="1134" w:bottom="1134" w:left="1247" w:header="567" w:footer="567" w:gutter="0"/>
          <w:pgNumType w:start="1"/>
          <w:docGrid w:type="lines" w:linePitch="312" w:charSpace="0"/>
        </w:sectPr>
      </w:pPr>
    </w:p>
    <w:p>
      <w:pPr>
        <w:pStyle w:val="1"/>
        <w:keepNext/>
        <w:keepLines/>
        <w:pageBreakBefore w:val="0"/>
        <w:widowControl w:val="0"/>
        <w:kinsoku/>
        <w:wordWrap w:val="0"/>
        <w:overflowPunct/>
        <w:topLinePunct w:val="0"/>
        <w:bidi w:val="0"/>
        <w:textAlignment w:val="auto"/>
        <w:rPr>
          <w:rFonts w:eastAsia="黑体"/>
          <w:lang w:val="en-US" w:eastAsia="zh-CN"/>
        </w:rPr>
      </w:pPr>
      <w:bookmarkStart w:id="501" w:name="_Toc505867279"/>
      <w:bookmarkStart w:id="502" w:name="_Toc506278876"/>
      <w:bookmarkStart w:id="503" w:name="_Toc28876"/>
      <w:r>
        <w:rPr>
          <w:rFonts w:hint="eastAsia"/>
        </w:rPr>
        <w:t xml:space="preserve">第五章 </w:t>
      </w:r>
      <w:bookmarkEnd w:id="501"/>
      <w:bookmarkEnd w:id="502"/>
      <w:r>
        <w:rPr>
          <w:rFonts w:hint="eastAsia"/>
          <w:lang w:val="en-US" w:eastAsia="zh-CN"/>
        </w:rPr>
        <w:t>技术商务要求</w:t>
      </w:r>
      <w:bookmarkEnd w:id="503"/>
    </w:p>
    <w:p>
      <w:pPr>
        <w:pageBreakBefore w:val="0"/>
        <w:widowControl w:val="0"/>
        <w:kinsoku/>
        <w:wordWrap w:val="0"/>
        <w:overflowPunct/>
        <w:topLinePunct w:val="0"/>
        <w:bidi w:val="0"/>
        <w:textAlignment w:val="auto"/>
        <w:rPr>
          <w:rFonts w:ascii="Times New Roman" w:eastAsia="宋体" w:hAnsi="Times New Roman"/>
          <w:b/>
          <w:bCs/>
          <w:lang w:val="en-US" w:eastAsia="zh-CN"/>
        </w:rPr>
      </w:pPr>
      <w:r>
        <w:rPr>
          <w:rFonts w:ascii="Times New Roman" w:hAnsi="Times New Roman" w:hint="eastAsia"/>
          <w:b/>
          <w:bCs/>
        </w:rPr>
        <w:t>一、</w:t>
      </w:r>
      <w:r>
        <w:rPr>
          <w:rFonts w:ascii="Times New Roman" w:hAnsi="Times New Roman" w:hint="eastAsia"/>
          <w:b/>
          <w:bCs/>
          <w:lang w:val="en-US" w:eastAsia="zh-CN"/>
        </w:rPr>
        <w:t>项目概况</w:t>
      </w:r>
    </w:p>
    <w:p>
      <w:pPr>
        <w:keepNext w:val="0"/>
        <w:keepLines w:val="0"/>
        <w:pageBreakBefore w:val="0"/>
        <w:widowControl w:val="0"/>
        <w:kinsoku/>
        <w:wordWrap w:val="0"/>
        <w:overflowPunct/>
        <w:topLinePunct w:val="0"/>
        <w:autoSpaceDE/>
        <w:autoSpaceDN/>
        <w:bidi w:val="0"/>
        <w:adjustRightInd/>
        <w:snapToGrid/>
        <w:ind w:left="0" w:firstLineChars="200" w:firstLine="420"/>
        <w:textAlignment w:val="auto"/>
        <w:rPr>
          <w:rFonts w:ascii="Times New Roman" w:hAnsi="Times New Roman" w:hint="eastAsia"/>
          <w:lang w:val="en-US" w:eastAsia="zh-CN"/>
        </w:rPr>
      </w:pPr>
      <w:r>
        <w:rPr>
          <w:rFonts w:ascii="Times New Roman" w:hAnsi="Times New Roman" w:hint="eastAsia"/>
        </w:rPr>
        <w:t>本项目需对黔江海关现有机房及相关设施进行改造，</w:t>
      </w:r>
      <w:r>
        <w:rPr>
          <w:rFonts w:ascii="Times New Roman" w:hAnsi="Times New Roman" w:hint="eastAsia"/>
          <w:lang w:val="en-US" w:eastAsia="zh-CN"/>
        </w:rPr>
        <w:t>主要解决备用电力电源保障不足、环境湿度过高、存储容量不足等问题。通过UPS电池组扩容、部署专业除湿系统、配置电路安全管理一体机、扩展存储设备及更换故障部件，全面提升机房基础设施的安全性与监控存储连续性。</w:t>
      </w:r>
    </w:p>
    <w:p>
      <w:pPr>
        <w:pageBreakBefore w:val="0"/>
        <w:widowControl w:val="0"/>
        <w:kinsoku/>
        <w:wordWrap w:val="0"/>
        <w:overflowPunct/>
        <w:topLinePunct w:val="0"/>
        <w:bidi w:val="0"/>
        <w:textAlignment w:val="auto"/>
        <w:rPr>
          <w:rFonts w:ascii="Times New Roman" w:hAnsi="Times New Roman" w:hint="eastAsia"/>
          <w:b/>
          <w:bCs/>
        </w:rPr>
      </w:pPr>
      <w:r>
        <w:rPr>
          <w:rFonts w:ascii="Times New Roman" w:hAnsi="Times New Roman" w:hint="eastAsia"/>
          <w:b/>
          <w:bCs/>
        </w:rPr>
        <w:t>二、 项目建设内容及详细技术要求</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4"/>
        <w:gridCol w:w="1695"/>
        <w:gridCol w:w="4170"/>
        <w:gridCol w:w="765"/>
        <w:gridCol w:w="765"/>
        <w:gridCol w:w="1449"/>
      </w:tblGrid>
      <w:tr>
        <w:trPr>
          <w:trHeight w:val="547"/>
        </w:trPr>
        <w:tc>
          <w:tcPr>
            <w:tcW w:w="784" w:type="dxa"/>
            <w:vAlign w:val="center"/>
          </w:tcPr>
          <w:p>
            <w:pPr>
              <w:pStyle w:val="30"/>
              <w:bidi w:val="0"/>
              <w:spacing w:line="240" w:lineRule="auto"/>
              <w:jc w:val="center"/>
              <w:rPr>
                <w:rFonts w:hint="eastAsia"/>
                <w:b/>
                <w:bCs/>
                <w:lang w:val="en-US" w:eastAsia="zh-CN"/>
              </w:rPr>
            </w:pPr>
            <w:r>
              <w:rPr>
                <w:rFonts w:hint="eastAsia"/>
                <w:b/>
                <w:bCs/>
                <w:lang w:val="en-US" w:eastAsia="zh-CN"/>
              </w:rPr>
              <w:t>序号</w:t>
            </w:r>
          </w:p>
        </w:tc>
        <w:tc>
          <w:tcPr>
            <w:tcW w:w="1695" w:type="dxa"/>
            <w:vAlign w:val="center"/>
          </w:tcPr>
          <w:p>
            <w:pPr>
              <w:pStyle w:val="30"/>
              <w:bidi w:val="0"/>
              <w:spacing w:line="240" w:lineRule="auto"/>
              <w:jc w:val="center"/>
              <w:rPr>
                <w:rFonts w:hint="eastAsia"/>
                <w:b/>
                <w:bCs/>
              </w:rPr>
            </w:pPr>
            <w:r>
              <w:rPr>
                <w:rFonts w:hint="eastAsia"/>
                <w:b/>
                <w:bCs/>
              </w:rPr>
              <w:t>分项名称</w:t>
            </w:r>
          </w:p>
        </w:tc>
        <w:tc>
          <w:tcPr>
            <w:tcW w:w="4170" w:type="dxa"/>
            <w:vAlign w:val="center"/>
          </w:tcPr>
          <w:p>
            <w:pPr>
              <w:pStyle w:val="30"/>
              <w:bidi w:val="0"/>
              <w:spacing w:line="240" w:lineRule="auto"/>
              <w:jc w:val="center"/>
              <w:rPr>
                <w:rFonts w:hint="eastAsia"/>
                <w:b/>
                <w:bCs/>
              </w:rPr>
            </w:pPr>
            <w:r>
              <w:rPr>
                <w:rFonts w:hint="eastAsia"/>
                <w:b/>
                <w:bCs/>
              </w:rPr>
              <w:t>技术规格与性能要求</w:t>
            </w:r>
          </w:p>
        </w:tc>
        <w:tc>
          <w:tcPr>
            <w:tcW w:w="765" w:type="dxa"/>
            <w:vAlign w:val="center"/>
          </w:tcPr>
          <w:p>
            <w:pPr>
              <w:pStyle w:val="30"/>
              <w:bidi w:val="0"/>
              <w:spacing w:line="240" w:lineRule="auto"/>
              <w:jc w:val="center"/>
              <w:rPr>
                <w:rFonts w:hint="eastAsia"/>
                <w:b/>
                <w:bCs/>
              </w:rPr>
            </w:pPr>
            <w:r>
              <w:rPr>
                <w:rFonts w:hint="eastAsia"/>
                <w:b/>
                <w:bCs/>
              </w:rPr>
              <w:t>单位</w:t>
            </w:r>
          </w:p>
        </w:tc>
        <w:tc>
          <w:tcPr>
            <w:tcW w:w="765" w:type="dxa"/>
            <w:vAlign w:val="center"/>
          </w:tcPr>
          <w:p>
            <w:pPr>
              <w:pStyle w:val="30"/>
              <w:bidi w:val="0"/>
              <w:spacing w:line="240" w:lineRule="auto"/>
              <w:jc w:val="center"/>
              <w:rPr>
                <w:rFonts w:hint="eastAsia"/>
                <w:b/>
                <w:bCs/>
              </w:rPr>
            </w:pPr>
            <w:r>
              <w:rPr>
                <w:rFonts w:hint="eastAsia"/>
                <w:b/>
                <w:bCs/>
              </w:rPr>
              <w:t>数量</w:t>
            </w:r>
          </w:p>
        </w:tc>
        <w:tc>
          <w:tcPr>
            <w:tcW w:w="1449" w:type="dxa"/>
            <w:vAlign w:val="center"/>
          </w:tcPr>
          <w:p>
            <w:pPr>
              <w:pStyle w:val="30"/>
              <w:bidi w:val="0"/>
              <w:spacing w:line="240" w:lineRule="auto"/>
              <w:jc w:val="center"/>
              <w:rPr>
                <w:rFonts w:hint="eastAsia"/>
                <w:b/>
                <w:bCs/>
              </w:rPr>
            </w:pPr>
            <w:r>
              <w:rPr>
                <w:rFonts w:hint="eastAsia"/>
                <w:b/>
                <w:bCs/>
              </w:rPr>
              <w:t>交付物</w:t>
            </w:r>
            <w:r>
              <w:rPr>
                <w:rFonts w:hint="eastAsia"/>
                <w:b/>
                <w:bCs/>
                <w:lang w:val="en-US" w:eastAsia="zh-CN"/>
              </w:rPr>
              <w:t>/</w:t>
            </w:r>
            <w:r>
              <w:rPr>
                <w:rFonts w:hint="eastAsia"/>
                <w:b/>
                <w:bCs/>
              </w:rPr>
              <w:t>交付要求</w:t>
            </w:r>
          </w:p>
        </w:tc>
      </w:tr>
      <w:tr>
        <w:tc>
          <w:tcPr>
            <w:tcW w:w="784" w:type="dxa"/>
            <w:vAlign w:val="center"/>
          </w:tcPr>
          <w:p>
            <w:pPr>
              <w:pStyle w:val="30"/>
              <w:bidi w:val="0"/>
              <w:spacing w:line="240" w:lineRule="auto"/>
              <w:jc w:val="center"/>
              <w:rPr>
                <w:rFonts w:eastAsia="宋体" w:hint="eastAsia"/>
                <w:lang w:val="en-US" w:eastAsia="zh-CN"/>
              </w:rPr>
            </w:pPr>
            <w:r>
              <w:rPr>
                <w:rFonts w:hint="eastAsia"/>
                <w:lang w:val="en-US" w:eastAsia="zh-CN"/>
              </w:rPr>
              <w:t>1</w:t>
            </w:r>
          </w:p>
        </w:tc>
        <w:tc>
          <w:tcPr>
            <w:tcW w:w="1695" w:type="dxa"/>
            <w:vAlign w:val="center"/>
          </w:tcPr>
          <w:p>
            <w:pPr>
              <w:pStyle w:val="30"/>
              <w:bidi w:val="0"/>
              <w:spacing w:line="240" w:lineRule="auto"/>
              <w:jc w:val="center"/>
              <w:rPr>
                <w:rFonts w:hint="eastAsia"/>
                <w:color w:val="auto"/>
              </w:rPr>
            </w:pPr>
            <w:r>
              <w:rPr>
                <w:rFonts w:hint="eastAsia"/>
                <w:color w:val="auto"/>
                <w:lang w:val="en-US" w:eastAsia="zh-CN"/>
              </w:rPr>
              <w:t>UPS电池组更换</w:t>
            </w:r>
          </w:p>
        </w:tc>
        <w:tc>
          <w:tcPr>
            <w:tcW w:w="4170" w:type="dxa"/>
            <w:vAlign w:val="center"/>
          </w:tcPr>
          <w:p>
            <w:pPr>
              <w:pStyle w:val="30"/>
              <w:numPr>
                <w:ilvl w:val="0"/>
                <w:numId w:val="2"/>
              </w:numPr>
              <w:bidi w:val="0"/>
              <w:spacing w:line="240" w:lineRule="auto"/>
              <w:jc w:val="left"/>
              <w:rPr>
                <w:rFonts w:hint="eastAsia"/>
                <w:lang w:val="en-US" w:eastAsia="zh-CN"/>
              </w:rPr>
            </w:pPr>
            <w:r>
              <w:rPr>
                <w:rFonts w:hint="eastAsia"/>
                <w:lang w:val="en-US" w:eastAsia="zh-CN"/>
              </w:rPr>
              <w:t>电池类型：放电型阀控式密封铅酸蓄电池（免维护）。</w:t>
              <w:br/>
              <w:t>2. 规格：12V/100Ah。</w:t>
              <w:br/>
              <w:t>3. 性能要求：更换后，需确保在UPS满载情况下，后备供电时间不低于60分钟。</w:t>
              <w:br/>
              <w:t>4. 包含旧电池组的拆卸、新电池组的安装、接线与系统调试。</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节</w:t>
            </w:r>
          </w:p>
        </w:tc>
        <w:tc>
          <w:tcPr>
            <w:tcW w:w="765" w:type="dxa"/>
            <w:vAlign w:val="center"/>
          </w:tcPr>
          <w:p>
            <w:pPr>
              <w:pStyle w:val="30"/>
              <w:bidi w:val="0"/>
              <w:spacing w:line="240" w:lineRule="auto"/>
              <w:jc w:val="center"/>
              <w:rPr>
                <w:rFonts w:eastAsia="宋体"/>
                <w:lang w:val="en-US" w:eastAsia="zh-CN"/>
              </w:rPr>
            </w:pPr>
            <w:r>
              <w:rPr>
                <w:rFonts w:hint="eastAsia"/>
                <w:lang w:val="en-US" w:eastAsia="zh-CN"/>
              </w:rPr>
              <w:t>64</w:t>
            </w:r>
          </w:p>
        </w:tc>
        <w:tc>
          <w:tcPr>
            <w:tcW w:w="1449" w:type="dxa"/>
            <w:vAlign w:val="center"/>
          </w:tcPr>
          <w:p>
            <w:pPr>
              <w:pStyle w:val="30"/>
              <w:bidi w:val="0"/>
              <w:spacing w:line="240" w:lineRule="auto"/>
              <w:jc w:val="left"/>
              <w:rPr>
                <w:rFonts w:hint="eastAsia"/>
              </w:rPr>
            </w:pPr>
            <w:r>
              <w:rPr>
                <w:rFonts w:hint="eastAsia"/>
              </w:rPr>
              <w:t>全新电池、安装调试完毕的UPS系统</w:t>
            </w:r>
          </w:p>
        </w:tc>
      </w:tr>
      <w:tr>
        <w:tc>
          <w:tcPr>
            <w:tcW w:w="784" w:type="dxa"/>
            <w:vAlign w:val="center"/>
          </w:tcPr>
          <w:p>
            <w:pPr>
              <w:pStyle w:val="30"/>
              <w:bidi w:val="0"/>
              <w:spacing w:line="240" w:lineRule="auto"/>
              <w:jc w:val="center"/>
              <w:rPr>
                <w:rFonts w:eastAsia="宋体" w:hint="eastAsia"/>
                <w:lang w:val="en-US" w:eastAsia="zh-CN"/>
              </w:rPr>
            </w:pPr>
            <w:r>
              <w:rPr>
                <w:rFonts w:hint="eastAsia"/>
                <w:lang w:val="en-US" w:eastAsia="zh-CN"/>
              </w:rPr>
              <w:t>2</w:t>
            </w:r>
          </w:p>
        </w:tc>
        <w:tc>
          <w:tcPr>
            <w:tcW w:w="1695" w:type="dxa"/>
            <w:vAlign w:val="center"/>
          </w:tcPr>
          <w:p>
            <w:pPr>
              <w:pStyle w:val="30"/>
              <w:bidi w:val="0"/>
              <w:spacing w:line="240" w:lineRule="auto"/>
              <w:jc w:val="center"/>
              <w:rPr>
                <w:rFonts w:hint="eastAsia"/>
              </w:rPr>
            </w:pPr>
            <w:r>
              <w:rPr>
                <w:rFonts w:hint="eastAsia"/>
              </w:rPr>
              <w:t>机房专用除湿</w:t>
            </w:r>
            <w:r>
              <w:rPr>
                <w:rFonts w:hint="eastAsia"/>
                <w:lang w:val="en-US" w:eastAsia="zh-CN"/>
              </w:rPr>
              <w:t>机</w:t>
            </w:r>
            <w:r>
              <w:rPr>
                <w:rFonts w:hint="eastAsia"/>
              </w:rPr>
              <w:t>​</w:t>
            </w:r>
          </w:p>
        </w:tc>
        <w:tc>
          <w:tcPr>
            <w:tcW w:w="4170" w:type="dxa"/>
            <w:vAlign w:val="center"/>
          </w:tcPr>
          <w:p>
            <w:pPr>
              <w:pStyle w:val="30"/>
              <w:bidi w:val="0"/>
              <w:spacing w:line="240" w:lineRule="auto"/>
              <w:jc w:val="left"/>
              <w:rPr>
                <w:rFonts w:hint="eastAsia"/>
              </w:rPr>
            </w:pPr>
            <w:r>
              <w:rPr>
                <w:rFonts w:hint="eastAsia"/>
              </w:rPr>
              <w:t>1. 类型：工业级机房专用除湿机。</w:t>
              <w:br/>
              <w:t>2. 除湿量：额定除湿量 ≥ 30升/天，适应重庆高湿环境。</w:t>
              <w:br/>
              <w:t>3. 安装要求：供应商需根据现场情况合理布局安装位置，确保机房内温湿度均匀稳定，避免气流直吹设备，并完成规范的排水管道铺设。</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台</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1</w:t>
            </w:r>
          </w:p>
        </w:tc>
        <w:tc>
          <w:tcPr>
            <w:tcW w:w="1449" w:type="dxa"/>
            <w:vAlign w:val="center"/>
          </w:tcPr>
          <w:p>
            <w:pPr>
              <w:pStyle w:val="30"/>
              <w:bidi w:val="0"/>
              <w:spacing w:line="240" w:lineRule="auto"/>
              <w:jc w:val="left"/>
              <w:rPr>
                <w:rFonts w:hint="eastAsia"/>
              </w:rPr>
            </w:pPr>
            <w:r>
              <w:rPr>
                <w:rFonts w:hint="eastAsia"/>
              </w:rPr>
              <w:t>全新设备、安装调试完毕</w:t>
            </w:r>
          </w:p>
        </w:tc>
      </w:tr>
      <w:tr>
        <w:tc>
          <w:tcPr>
            <w:tcW w:w="784" w:type="dxa"/>
            <w:vAlign w:val="center"/>
          </w:tcPr>
          <w:p>
            <w:pPr>
              <w:pStyle w:val="30"/>
              <w:bidi w:val="0"/>
              <w:spacing w:line="240" w:lineRule="auto"/>
              <w:jc w:val="center"/>
              <w:rPr>
                <w:rFonts w:eastAsia="宋体"/>
                <w:lang w:val="en-US" w:eastAsia="zh-CN"/>
              </w:rPr>
            </w:pPr>
            <w:r>
              <w:rPr>
                <w:rFonts w:hint="eastAsia"/>
                <w:lang w:val="en-US" w:eastAsia="zh-CN"/>
              </w:rPr>
              <w:t>3</w:t>
            </w:r>
          </w:p>
        </w:tc>
        <w:tc>
          <w:tcPr>
            <w:tcW w:w="1695" w:type="dxa"/>
            <w:vAlign w:val="center"/>
          </w:tcPr>
          <w:p>
            <w:pPr>
              <w:pStyle w:val="30"/>
              <w:bidi w:val="0"/>
              <w:spacing w:line="240" w:lineRule="auto"/>
              <w:jc w:val="center"/>
              <w:rPr>
                <w:rFonts w:hint="eastAsia"/>
              </w:rPr>
            </w:pPr>
            <w:r>
              <w:rPr>
                <w:rFonts w:hint="eastAsia"/>
                <w:color w:val="auto"/>
              </w:rPr>
              <w:t>网络硬盘录像机（NVR）​</w:t>
            </w:r>
          </w:p>
        </w:tc>
        <w:tc>
          <w:tcPr>
            <w:tcW w:w="4170" w:type="dxa"/>
            <w:vAlign w:val="center"/>
          </w:tcPr>
          <w:p>
            <w:pPr>
              <w:pStyle w:val="30"/>
              <w:bidi w:val="0"/>
              <w:spacing w:line="240" w:lineRule="auto"/>
              <w:jc w:val="left"/>
              <w:rPr>
                <w:rFonts w:hint="eastAsia"/>
              </w:rPr>
            </w:pPr>
            <w:r>
              <w:rPr>
                <w:rFonts w:hint="eastAsia"/>
              </w:rPr>
              <w:t>1、嵌入式网络硬盘录像机，支持≥24个SATA接口硬盘，所有接口均支持接入≥20T硬盘，支持≥128路H.264、H.265视频流混合接入，输入带宽≥1024Mbps，支持≥36路1080P视频同时解码输出；</w:t>
            </w:r>
          </w:p>
          <w:p>
            <w:pPr>
              <w:pStyle w:val="30"/>
              <w:bidi w:val="0"/>
              <w:spacing w:line="240" w:lineRule="auto"/>
              <w:jc w:val="left"/>
              <w:rPr>
                <w:rFonts w:hint="eastAsia"/>
              </w:rPr>
            </w:pPr>
            <w:r>
              <w:rPr>
                <w:rFonts w:hint="eastAsia"/>
              </w:rPr>
              <w:t>2、支持即时回放功能，在预览画面下对指定通道的当前录像进行回放，并且不影响其他通道预览，支持重要录像文件加锁保护功能，支持硬盘配额和硬盘盘组两种存储模式，可对不同通道分配不同的录像保存容量或周期；</w:t>
            </w:r>
          </w:p>
          <w:p>
            <w:pPr>
              <w:pStyle w:val="30"/>
              <w:bidi w:val="0"/>
              <w:spacing w:line="240" w:lineRule="auto"/>
              <w:jc w:val="left"/>
              <w:rPr>
                <w:rFonts w:hint="eastAsia"/>
              </w:rPr>
            </w:pPr>
            <w:r>
              <w:rPr>
                <w:rFonts w:hint="eastAsia"/>
              </w:rPr>
              <w:t>3、支持异源输出≥2路分辨率≥7680×4320的视频图像，支持输出≥1路分辨率≥7680×4320的视频图像同时再异源输出≥1路分辨率≥4096×2160的视频图像；</w:t>
            </w:r>
          </w:p>
          <w:p>
            <w:pPr>
              <w:pStyle w:val="30"/>
              <w:bidi w:val="0"/>
              <w:spacing w:line="240" w:lineRule="auto"/>
              <w:jc w:val="left"/>
              <w:rPr>
                <w:rFonts w:hint="eastAsia"/>
              </w:rPr>
            </w:pPr>
            <w:r>
              <w:rPr>
                <w:rFonts w:hint="eastAsia"/>
              </w:rPr>
              <w:t>4、★支持预览的单窗口轮巡，设备支持在多画面的固定窗口上进行轮巡预览，其他预览窗口不轮巡，支持预览时对实时视频流进行手动打标签，通过标签检索可以检索到相关的录像片段；提供带CNAS、CMA标识的第三方权威检测机构检测报告复印件，加盖厂商公章。</w:t>
            </w:r>
          </w:p>
          <w:p>
            <w:pPr>
              <w:pStyle w:val="30"/>
              <w:bidi w:val="0"/>
              <w:spacing w:line="240" w:lineRule="auto"/>
              <w:jc w:val="left"/>
              <w:rPr>
                <w:rFonts w:hint="eastAsia"/>
              </w:rPr>
            </w:pPr>
            <w:r>
              <w:rPr>
                <w:rFonts w:hint="eastAsia"/>
              </w:rPr>
              <w:t>5、★支持自动跳转https功能，设备启用自动跳转https功能后不支持http协议访问，http访问入口连接会自动重定向到https入口，支持前端IPC证书二次校验机制，未通过证书校验的IPC不允许添加到NVR；提供带CNAS、CMA标识的第三方权威检测机构检测报告复印件，加盖厂商公章。</w:t>
            </w:r>
          </w:p>
          <w:p>
            <w:pPr>
              <w:pStyle w:val="30"/>
              <w:bidi w:val="0"/>
              <w:spacing w:line="240" w:lineRule="auto"/>
              <w:jc w:val="left"/>
              <w:rPr>
                <w:rFonts w:hint="eastAsia"/>
              </w:rPr>
            </w:pPr>
            <w:r>
              <w:rPr>
                <w:rFonts w:hint="eastAsia"/>
              </w:rPr>
              <w:t>6、支持识别检测包括但不限于已知漏洞、XML内容格式、URL黑名单、报文格式合法性、SQL/XSS攻击、报文参数攻击、扫描器攻击，支持拦截攻击报文，对于网络端口扫描行为支持预警并自动封禁IP；</w:t>
            </w:r>
          </w:p>
          <w:p>
            <w:pPr>
              <w:pStyle w:val="30"/>
              <w:bidi w:val="0"/>
              <w:spacing w:line="240" w:lineRule="auto"/>
              <w:jc w:val="left"/>
              <w:rPr>
                <w:rFonts w:hint="eastAsia"/>
              </w:rPr>
            </w:pPr>
            <w:r>
              <w:rPr>
                <w:rFonts w:hint="eastAsia"/>
              </w:rPr>
              <w:t>7、≥2个DP接口、≥2个HDMI接口，支持≥4个千兆网口、≥4个USB接口、≥1个eSATA接口，≥16路报警输入、≥8路报警输出接口，支持冗余电源、冗余风扇，高度≤4U；</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台</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1</w:t>
            </w:r>
          </w:p>
        </w:tc>
        <w:tc>
          <w:tcPr>
            <w:tcW w:w="1449" w:type="dxa"/>
            <w:vAlign w:val="center"/>
          </w:tcPr>
          <w:p>
            <w:pPr>
              <w:pStyle w:val="30"/>
              <w:bidi w:val="0"/>
              <w:spacing w:line="240" w:lineRule="auto"/>
              <w:jc w:val="left"/>
              <w:rPr>
                <w:rFonts w:hint="eastAsia"/>
              </w:rPr>
            </w:pPr>
            <w:r>
              <w:rPr>
                <w:rFonts w:hint="eastAsia"/>
              </w:rPr>
              <w:t>全新设备、安装配置完毕</w:t>
            </w:r>
          </w:p>
        </w:tc>
      </w:tr>
      <w:tr>
        <w:trPr>
          <w:trHeight w:val="847"/>
        </w:trPr>
        <w:tc>
          <w:tcPr>
            <w:tcW w:w="784" w:type="dxa"/>
            <w:vAlign w:val="center"/>
          </w:tcPr>
          <w:p>
            <w:pPr>
              <w:pStyle w:val="30"/>
              <w:bidi w:val="0"/>
              <w:spacing w:line="240" w:lineRule="auto"/>
              <w:jc w:val="center"/>
              <w:rPr>
                <w:rFonts w:eastAsia="宋体" w:hint="eastAsia"/>
                <w:lang w:val="en-US" w:eastAsia="zh-CN"/>
              </w:rPr>
            </w:pPr>
            <w:r>
              <w:rPr>
                <w:rFonts w:hint="eastAsia"/>
                <w:lang w:val="en-US" w:eastAsia="zh-CN"/>
              </w:rPr>
              <w:t>4</w:t>
            </w:r>
          </w:p>
        </w:tc>
        <w:tc>
          <w:tcPr>
            <w:tcW w:w="1695" w:type="dxa"/>
            <w:vAlign w:val="center"/>
          </w:tcPr>
          <w:p>
            <w:pPr>
              <w:pStyle w:val="30"/>
              <w:bidi w:val="0"/>
              <w:spacing w:line="240" w:lineRule="auto"/>
              <w:jc w:val="center"/>
              <w:rPr>
                <w:rFonts w:hint="eastAsia"/>
              </w:rPr>
            </w:pPr>
            <w:r>
              <w:rPr>
                <w:rFonts w:hint="eastAsia"/>
              </w:rPr>
              <w:t>企业级硬盘​</w:t>
            </w:r>
          </w:p>
        </w:tc>
        <w:tc>
          <w:tcPr>
            <w:tcW w:w="4170" w:type="dxa"/>
            <w:vAlign w:val="center"/>
          </w:tcPr>
          <w:p>
            <w:pPr>
              <w:pStyle w:val="30"/>
              <w:bidi w:val="0"/>
              <w:spacing w:line="240" w:lineRule="auto"/>
              <w:jc w:val="both"/>
              <w:rPr>
                <w:rFonts w:hint="eastAsia"/>
              </w:rPr>
            </w:pPr>
            <w:r>
              <w:rPr>
                <w:rFonts w:hint="eastAsia"/>
              </w:rPr>
              <w:t>1. 类型：企业级SATA硬盘。</w:t>
            </w:r>
          </w:p>
          <w:p>
            <w:pPr>
              <w:pStyle w:val="30"/>
              <w:bidi w:val="0"/>
              <w:spacing w:line="240" w:lineRule="auto"/>
              <w:jc w:val="both"/>
              <w:rPr>
                <w:rFonts w:hint="eastAsia"/>
              </w:rPr>
            </w:pPr>
            <w:r>
              <w:rPr>
                <w:rFonts w:hint="eastAsia"/>
              </w:rPr>
              <w:t>2. 容量：14TB。</w:t>
            </w:r>
          </w:p>
          <w:p>
            <w:pPr>
              <w:pStyle w:val="30"/>
              <w:bidi w:val="0"/>
              <w:spacing w:line="240" w:lineRule="auto"/>
              <w:jc w:val="both"/>
              <w:rPr>
                <w:rFonts w:hint="eastAsia"/>
              </w:rPr>
            </w:pPr>
            <w:r>
              <w:rPr>
                <w:rFonts w:hint="eastAsia"/>
              </w:rPr>
              <w:t>3. 用于填充至新购的硬盘录像机中。</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块</w:t>
            </w:r>
          </w:p>
        </w:tc>
        <w:tc>
          <w:tcPr>
            <w:tcW w:w="765" w:type="dxa"/>
            <w:vAlign w:val="center"/>
          </w:tcPr>
          <w:p>
            <w:pPr>
              <w:pStyle w:val="30"/>
              <w:bidi w:val="0"/>
              <w:spacing w:line="240" w:lineRule="auto"/>
              <w:jc w:val="center"/>
              <w:rPr>
                <w:rFonts w:eastAsia="宋体"/>
                <w:lang w:val="en-US" w:eastAsia="zh-CN"/>
              </w:rPr>
            </w:pPr>
            <w:r>
              <w:rPr>
                <w:rFonts w:hint="eastAsia"/>
                <w:lang w:val="en-US" w:eastAsia="zh-CN"/>
              </w:rPr>
              <w:t>11</w:t>
            </w:r>
          </w:p>
        </w:tc>
        <w:tc>
          <w:tcPr>
            <w:tcW w:w="1449" w:type="dxa"/>
            <w:vAlign w:val="center"/>
          </w:tcPr>
          <w:p>
            <w:pPr>
              <w:pStyle w:val="30"/>
              <w:bidi w:val="0"/>
              <w:spacing w:line="240" w:lineRule="auto"/>
              <w:jc w:val="left"/>
              <w:rPr>
                <w:rFonts w:hint="eastAsia"/>
              </w:rPr>
            </w:pPr>
            <w:r>
              <w:rPr>
                <w:rFonts w:hint="eastAsia"/>
              </w:rPr>
              <w:t>全新硬盘、安装并配置完毕</w:t>
            </w:r>
          </w:p>
        </w:tc>
      </w:tr>
      <w:tr>
        <w:trPr>
          <w:trHeight w:val="5866"/>
        </w:trPr>
        <w:tc>
          <w:tcPr>
            <w:tcW w:w="784" w:type="dxa"/>
            <w:vAlign w:val="center"/>
          </w:tcPr>
          <w:p>
            <w:pPr>
              <w:pStyle w:val="30"/>
              <w:bidi w:val="0"/>
              <w:spacing w:line="240" w:lineRule="auto"/>
              <w:jc w:val="center"/>
              <w:rPr>
                <w:rFonts w:eastAsia="宋体" w:hint="eastAsia"/>
                <w:lang w:val="en-US" w:eastAsia="zh-CN"/>
              </w:rPr>
            </w:pPr>
            <w:r>
              <w:rPr>
                <w:rFonts w:hint="eastAsia"/>
                <w:lang w:val="en-US" w:eastAsia="zh-CN"/>
              </w:rPr>
              <w:t>5</w:t>
            </w:r>
          </w:p>
        </w:tc>
        <w:tc>
          <w:tcPr>
            <w:tcW w:w="1695" w:type="dxa"/>
            <w:vAlign w:val="center"/>
          </w:tcPr>
          <w:p>
            <w:pPr>
              <w:pStyle w:val="30"/>
              <w:bidi w:val="0"/>
              <w:spacing w:line="240" w:lineRule="auto"/>
              <w:jc w:val="center"/>
              <w:rPr>
                <w:rFonts w:hint="eastAsia"/>
              </w:rPr>
            </w:pPr>
            <w:r>
              <w:rPr>
                <w:rFonts w:hint="eastAsia"/>
                <w:color w:val="auto"/>
              </w:rPr>
              <w:t>主机电路安全管理一体机</w:t>
            </w:r>
            <w:r>
              <w:rPr>
                <w:rFonts w:hint="eastAsia"/>
              </w:rPr>
              <w:t>​</w:t>
            </w:r>
          </w:p>
        </w:tc>
        <w:tc>
          <w:tcPr>
            <w:tcW w:w="4170" w:type="dxa"/>
            <w:vAlign w:val="center"/>
          </w:tcPr>
          <w:p>
            <w:pPr>
              <w:pStyle w:val="30"/>
              <w:bidi w:val="0"/>
              <w:spacing w:line="240" w:lineRule="auto"/>
              <w:jc w:val="left"/>
              <w:rPr>
                <w:rFonts w:hint="eastAsia"/>
              </w:rPr>
            </w:pPr>
            <w:r>
              <w:rPr>
                <w:rFonts w:hint="eastAsia"/>
              </w:rPr>
              <w:t>★1、要求为软硬件一体机≤1.5U，双电源，内置显示屏，通讯接口包含RJ45、4G、WIFI，标配网络防雷接口≥6路、接地通路接口≥2路、漏电监测接口≥6路、RS485接口≥6路、RS232串口≥1路、USB接口≥2路、HDMI接口≥1路、电源输出接口≥6路16A国标五孔插座；（提供产品完整实物且体现接口的清晰照片并加盖厂商公章）</w:t>
            </w:r>
          </w:p>
          <w:p>
            <w:pPr>
              <w:pStyle w:val="30"/>
              <w:bidi w:val="0"/>
              <w:spacing w:line="240" w:lineRule="auto"/>
              <w:jc w:val="left"/>
              <w:rPr>
                <w:rFonts w:hint="eastAsia"/>
              </w:rPr>
            </w:pPr>
            <w:r>
              <w:rPr>
                <w:rFonts w:hint="eastAsia"/>
              </w:rPr>
              <w:t>2、具有电涌保护功能支持网络和电源系统防雷击防浪涌；</w:t>
            </w:r>
          </w:p>
          <w:p>
            <w:pPr>
              <w:pStyle w:val="30"/>
              <w:bidi w:val="0"/>
              <w:spacing w:line="240" w:lineRule="auto"/>
              <w:jc w:val="left"/>
              <w:rPr>
                <w:rFonts w:hint="eastAsia"/>
              </w:rPr>
            </w:pPr>
            <w:r>
              <w:rPr>
                <w:rFonts w:hint="eastAsia"/>
              </w:rPr>
              <w:t>★3、产品符合GB/T 18802.21-2016《低压电涌保护器 第21部分:电信和信号网络的电涌保护器(SPD)性能要求和试验方法》：冲击耐受能力(1.2/50us-8/20us)≥10kV/5kA；（提供具有CMA和CNAS标识的第三方检测机构依据GB/T 18802.21-2016标准出具的完整检测报告并加盖厂商公章）</w:t>
            </w:r>
          </w:p>
          <w:p>
            <w:pPr>
              <w:pStyle w:val="30"/>
              <w:bidi w:val="0"/>
              <w:spacing w:line="240" w:lineRule="auto"/>
              <w:jc w:val="left"/>
              <w:rPr>
                <w:rFonts w:hint="eastAsia"/>
              </w:rPr>
            </w:pPr>
            <w:r>
              <w:rPr>
                <w:rFonts w:hint="eastAsia"/>
              </w:rPr>
              <w:t>★4、产品符合GB/T 18802.11-2020《低压电涌保护器(SPD)第11部分:低压电源系统的电涌保护器性能要求和试验方法》：电压保护水平Up≤1.6kV，标称放电电流In(8/20μs)≥20kA，最大放电电流Imax(8/20μs)≥40kA；（提供具有CMA和CNAS标识的第三方检测机构依据GB/T 18802.11-2020标准出具的完整检测报告并加盖厂商公章）</w:t>
            </w:r>
          </w:p>
          <w:p>
            <w:pPr>
              <w:pStyle w:val="30"/>
              <w:bidi w:val="0"/>
              <w:spacing w:line="240" w:lineRule="auto"/>
              <w:jc w:val="left"/>
              <w:rPr>
                <w:rFonts w:hint="eastAsia"/>
              </w:rPr>
            </w:pPr>
            <w:r>
              <w:rPr>
                <w:rFonts w:hint="eastAsia"/>
              </w:rPr>
              <w:t>★5、内置触控显示屏≥2.8英寸，可显示监测状态、设备信息和告警信息等，屏显内容包含：告警信息、防雷器状态、防雷器温度、防雷器寿命、雷击浪涌次数、接地通断、漏电流、温度、湿度、烟雾、水浸、安装单位、联系人、联系电话；（提供以上各项屏显内容的清晰照片并加盖厂商公章）</w:t>
            </w:r>
          </w:p>
          <w:p>
            <w:pPr>
              <w:pStyle w:val="30"/>
              <w:bidi w:val="0"/>
              <w:spacing w:line="240" w:lineRule="auto"/>
              <w:jc w:val="left"/>
              <w:rPr>
                <w:rFonts w:hint="eastAsia"/>
              </w:rPr>
            </w:pPr>
            <w:r>
              <w:rPr>
                <w:rFonts w:hint="eastAsia"/>
              </w:rPr>
              <w:t>★6、支持监测指标实时查询、数据分析、视频监控、设备管理、告警阈值管理、触发器管理、工单管理、多级用户权限管理；（提供以上各项软件功能截图并加盖厂商公章）</w:t>
            </w:r>
          </w:p>
          <w:p>
            <w:pPr>
              <w:pStyle w:val="30"/>
              <w:bidi w:val="0"/>
              <w:spacing w:line="240" w:lineRule="auto"/>
              <w:jc w:val="left"/>
              <w:rPr>
                <w:rFonts w:hint="eastAsia"/>
              </w:rPr>
            </w:pPr>
            <w:r>
              <w:rPr>
                <w:rFonts w:hint="eastAsia"/>
              </w:rPr>
              <w:t>7、网络防雷接口支持POE供电，可为监控摄像头远程供电，管理平台可实时查看监控画面，支持对视频流的网络传输进行优化整形，降低网络传输引发的视频卡顿风险；</w:t>
            </w:r>
          </w:p>
          <w:p>
            <w:pPr>
              <w:pStyle w:val="30"/>
              <w:bidi w:val="0"/>
              <w:spacing w:line="240" w:lineRule="auto"/>
              <w:jc w:val="left"/>
              <w:rPr>
                <w:rFonts w:hint="eastAsia"/>
              </w:rPr>
            </w:pPr>
            <w:r>
              <w:rPr>
                <w:rFonts w:hint="eastAsia"/>
              </w:rPr>
              <w:t>8、运维方式支持管理平台查询、故障报修、管理派发工单；</w:t>
            </w:r>
          </w:p>
          <w:p>
            <w:pPr>
              <w:pStyle w:val="30"/>
              <w:bidi w:val="0"/>
              <w:spacing w:line="240" w:lineRule="auto"/>
              <w:jc w:val="left"/>
              <w:rPr>
                <w:rFonts w:hint="eastAsia"/>
              </w:rPr>
            </w:pPr>
            <w:r>
              <w:rPr>
                <w:rFonts w:hint="eastAsia"/>
              </w:rPr>
              <w:t>9、支持设备漏电监测，当漏电监测接口所连接设备的漏电流≤25mA时就可触发报警；</w:t>
            </w:r>
          </w:p>
          <w:p>
            <w:pPr>
              <w:pStyle w:val="30"/>
              <w:bidi w:val="0"/>
              <w:spacing w:line="240" w:lineRule="auto"/>
              <w:jc w:val="left"/>
              <w:rPr>
                <w:rFonts w:hint="eastAsia"/>
              </w:rPr>
            </w:pPr>
            <w:r>
              <w:rPr>
                <w:rFonts w:hint="eastAsia"/>
              </w:rPr>
              <w:t>10、双电源支持自动切换，AB路电源切换延时≤10ms，切换时输出端负载不重启不断电；</w:t>
            </w:r>
          </w:p>
          <w:p>
            <w:pPr>
              <w:pStyle w:val="30"/>
              <w:bidi w:val="0"/>
              <w:spacing w:line="240" w:lineRule="auto"/>
              <w:jc w:val="left"/>
              <w:rPr>
                <w:rFonts w:hint="eastAsia"/>
              </w:rPr>
            </w:pPr>
            <w:r>
              <w:rPr>
                <w:rFonts w:hint="eastAsia"/>
              </w:rPr>
              <w:t>11、RS485接口支持接入第三方温湿度、烟感、水浸等传感器，支持RS232串口和RJ45网口两种方式远程控制；</w:t>
            </w:r>
          </w:p>
          <w:p>
            <w:pPr>
              <w:pStyle w:val="30"/>
              <w:bidi w:val="0"/>
              <w:spacing w:line="240" w:lineRule="auto"/>
              <w:jc w:val="left"/>
              <w:rPr>
                <w:rFonts w:hint="eastAsia"/>
              </w:rPr>
            </w:pPr>
            <w:r>
              <w:rPr>
                <w:rFonts w:hint="eastAsia"/>
              </w:rPr>
              <w:t>12、电源输入AC220，额定电流≥32A，额定功率≥7000W；</w:t>
            </w:r>
          </w:p>
          <w:p>
            <w:pPr>
              <w:pStyle w:val="30"/>
              <w:bidi w:val="0"/>
              <w:spacing w:line="240" w:lineRule="auto"/>
              <w:jc w:val="left"/>
              <w:rPr>
                <w:rFonts w:hint="eastAsia"/>
              </w:rPr>
            </w:pPr>
            <w:r>
              <w:rPr>
                <w:rFonts w:hint="eastAsia"/>
              </w:rPr>
              <w:t>13、中标后三日内提交样品和所响应证明材料复印件进行演示和查验。</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台</w:t>
            </w:r>
          </w:p>
        </w:tc>
        <w:tc>
          <w:tcPr>
            <w:tcW w:w="765" w:type="dxa"/>
            <w:vAlign w:val="center"/>
          </w:tcPr>
          <w:p>
            <w:pPr>
              <w:pStyle w:val="30"/>
              <w:bidi w:val="0"/>
              <w:spacing w:line="240" w:lineRule="auto"/>
              <w:jc w:val="center"/>
              <w:rPr>
                <w:rFonts w:eastAsia="宋体" w:hint="eastAsia"/>
                <w:lang w:val="en-US" w:eastAsia="zh-CN"/>
              </w:rPr>
            </w:pPr>
            <w:r>
              <w:rPr>
                <w:rFonts w:hint="eastAsia"/>
                <w:lang w:val="en-US" w:eastAsia="zh-CN"/>
              </w:rPr>
              <w:t>1</w:t>
            </w:r>
          </w:p>
        </w:tc>
        <w:tc>
          <w:tcPr>
            <w:tcW w:w="1449" w:type="dxa"/>
            <w:vAlign w:val="center"/>
          </w:tcPr>
          <w:p>
            <w:pPr>
              <w:pStyle w:val="30"/>
              <w:bidi w:val="0"/>
              <w:spacing w:line="240" w:lineRule="auto"/>
              <w:jc w:val="left"/>
              <w:rPr>
                <w:rFonts w:hint="eastAsia"/>
              </w:rPr>
            </w:pPr>
            <w:r>
              <w:rPr>
                <w:rFonts w:hint="eastAsia"/>
              </w:rPr>
              <w:t>全新设备、安装调试完毕</w:t>
            </w:r>
          </w:p>
        </w:tc>
      </w:tr>
    </w:tbl>
    <w:p>
      <w:pPr>
        <w:pageBreakBefore w:val="0"/>
        <w:widowControl w:val="0"/>
        <w:kinsoku/>
        <w:wordWrap w:val="0"/>
        <w:overflowPunct/>
        <w:topLinePunct w:val="0"/>
        <w:bidi w:val="0"/>
        <w:textAlignment w:val="auto"/>
        <w:rPr>
          <w:rFonts w:ascii="Times New Roman" w:hAnsi="Times New Roman" w:hint="eastAsia"/>
        </w:rPr>
      </w:pPr>
    </w:p>
    <w:p>
      <w:pPr>
        <w:pageBreakBefore w:val="0"/>
        <w:widowControl w:val="0"/>
        <w:kinsoku/>
        <w:wordWrap w:val="0"/>
        <w:overflowPunct/>
        <w:topLinePunct w:val="0"/>
        <w:bidi w:val="0"/>
        <w:textAlignment w:val="auto"/>
        <w:rPr>
          <w:rFonts w:ascii="Times New Roman" w:hAnsi="Times New Roman" w:hint="eastAsia"/>
          <w:b/>
          <w:bCs/>
        </w:rPr>
      </w:pPr>
      <w:bookmarkStart w:id="504" w:name="_Toc29613"/>
      <w:bookmarkStart w:id="505" w:name="_Toc18731"/>
      <w:bookmarkStart w:id="506" w:name="_Toc24736"/>
      <w:bookmarkStart w:id="507" w:name="_Toc124174431"/>
      <w:bookmarkStart w:id="508" w:name="_Toc534725974"/>
      <w:bookmarkStart w:id="509" w:name="_Toc267320050"/>
      <w:r>
        <w:rPr>
          <w:rFonts w:ascii="Times New Roman" w:hAnsi="Times New Roman" w:hint="eastAsia"/>
          <w:b/>
          <w:bCs/>
          <w:lang w:val="en-US" w:eastAsia="zh-CN"/>
        </w:rPr>
        <w:t>三</w:t>
      </w:r>
      <w:r>
        <w:rPr>
          <w:rFonts w:ascii="Times New Roman" w:hAnsi="Times New Roman" w:hint="eastAsia"/>
          <w:b/>
          <w:bCs/>
        </w:rPr>
        <w:t>、报价要求</w:t>
      </w:r>
      <w:bookmarkEnd w:id="504"/>
      <w:bookmarkEnd w:id="505"/>
      <w:bookmarkEnd w:id="506"/>
      <w:bookmarkEnd w:id="507"/>
      <w:bookmarkEnd w:id="508"/>
    </w:p>
    <w:p>
      <w:pPr>
        <w:pageBreakBefore w:val="0"/>
        <w:widowControl w:val="0"/>
        <w:kinsoku/>
        <w:wordWrap w:val="0"/>
        <w:overflowPunct/>
        <w:topLinePunct w:val="0"/>
        <w:bidi w:val="0"/>
        <w:textAlignment w:val="auto"/>
        <w:rPr>
          <w:rFonts w:ascii="Times New Roman" w:hAnsi="Times New Roman" w:hint="eastAsia"/>
        </w:rPr>
      </w:pPr>
      <w:bookmarkStart w:id="510" w:name="_Toc267320051"/>
      <w:bookmarkStart w:id="511" w:name="_Toc12022"/>
      <w:bookmarkStart w:id="512" w:name="_Toc534725976"/>
      <w:bookmarkStart w:id="513" w:name="_Toc2548"/>
      <w:bookmarkStart w:id="514" w:name="_Toc7481"/>
      <w:bookmarkEnd w:id="509"/>
      <w:r>
        <w:rPr>
          <w:rFonts w:ascii="Times New Roman" w:hAnsi="Times New Roman" w:hint="eastAsia"/>
        </w:rPr>
        <w:t>本次报价须为人民币报价，报价</w:t>
      </w:r>
      <w:r>
        <w:rPr>
          <w:rFonts w:ascii="Times New Roman" w:hAnsi="Times New Roman" w:hint="eastAsia"/>
          <w:lang w:val="en-US" w:eastAsia="zh-CN"/>
        </w:rPr>
        <w:t>为包干价</w:t>
      </w:r>
      <w:r>
        <w:rPr>
          <w:rFonts w:ascii="Times New Roman" w:hAnsi="Times New Roman" w:hint="eastAsia"/>
        </w:rPr>
        <w:t>包括完成本项目服务所需要的全部成本、税费、利润等总和，因成交供应商自身原因造成漏报、少报皆由其自行承担责任，采购人不再补偿。</w:t>
      </w:r>
    </w:p>
    <w:p>
      <w:pPr>
        <w:pageBreakBefore w:val="0"/>
        <w:widowControl w:val="0"/>
        <w:kinsoku/>
        <w:wordWrap w:val="0"/>
        <w:overflowPunct/>
        <w:topLinePunct w:val="0"/>
        <w:bidi w:val="0"/>
        <w:textAlignment w:val="auto"/>
        <w:rPr>
          <w:rFonts w:ascii="Times New Roman" w:hAnsi="Times New Roman" w:hint="eastAsia"/>
        </w:rPr>
      </w:pPr>
      <w:bookmarkStart w:id="515" w:name="_Toc124174432"/>
      <w:r>
        <w:rPr>
          <w:rFonts w:ascii="Times New Roman" w:hAnsi="Times New Roman" w:hint="eastAsia"/>
          <w:b/>
          <w:bCs/>
          <w:lang w:val="en-US" w:eastAsia="zh-CN"/>
        </w:rPr>
        <w:t>四、</w:t>
      </w:r>
      <w:r>
        <w:rPr>
          <w:rFonts w:ascii="Times New Roman" w:hAnsi="Times New Roman" w:hint="eastAsia"/>
          <w:b/>
          <w:bCs/>
        </w:rPr>
        <w:t>付款方式</w:t>
      </w:r>
      <w:bookmarkEnd w:id="510"/>
      <w:bookmarkEnd w:id="511"/>
      <w:bookmarkEnd w:id="512"/>
      <w:bookmarkEnd w:id="513"/>
      <w:bookmarkEnd w:id="514"/>
      <w:bookmarkEnd w:id="515"/>
    </w:p>
    <w:p>
      <w:pPr>
        <w:pageBreakBefore w:val="0"/>
        <w:widowControl w:val="0"/>
        <w:kinsoku/>
        <w:wordWrap w:val="0"/>
        <w:overflowPunct/>
        <w:topLinePunct w:val="0"/>
        <w:bidi w:val="0"/>
        <w:textAlignment w:val="auto"/>
        <w:rPr>
          <w:rFonts w:ascii="Times New Roman" w:hAnsi="Times New Roman" w:hint="eastAsia"/>
        </w:rPr>
      </w:pPr>
      <w:bookmarkStart w:id="516" w:name="_Toc534725977"/>
      <w:bookmarkStart w:id="517" w:name="_Toc267320052"/>
      <w:r>
        <w:rPr>
          <w:rFonts w:ascii="Times New Roman" w:hAnsi="Times New Roman" w:hint="eastAsia"/>
        </w:rPr>
        <w:t>（一）成交供应商按采购合同完成项目服务需求，经验收合格后采购人出具项目验收报告；</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（二）成交供应商向采购人提供税务部门出具的发票，向采购人申请付款；</w:t>
      </w:r>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w:t>
      </w:r>
      <w:r>
        <w:rPr>
          <w:rFonts w:ascii="Times New Roman" w:hAnsi="Times New Roman" w:hint="eastAsia"/>
          <w:lang w:val="en-US" w:eastAsia="zh-CN"/>
        </w:rPr>
        <w:t>三</w:t>
      </w:r>
      <w:r>
        <w:rPr>
          <w:rFonts w:ascii="Times New Roman" w:hAnsi="Times New Roman" w:hint="eastAsia"/>
        </w:rPr>
        <w:t>）对成交供应商提交的付款资料审核通过后，以转账方式向成交供应商支付合同款项；</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rPr>
        <w:t>（</w:t>
      </w:r>
      <w:r>
        <w:rPr>
          <w:rFonts w:ascii="Times New Roman" w:hAnsi="Times New Roman" w:hint="eastAsia"/>
          <w:lang w:val="en-US" w:eastAsia="zh-CN"/>
        </w:rPr>
        <w:t>四</w:t>
      </w:r>
      <w:r>
        <w:rPr>
          <w:rFonts w:ascii="Times New Roman" w:hAnsi="Times New Roman" w:hint="eastAsia"/>
        </w:rPr>
        <w:t>）本项目支付办法及比例：</w:t>
      </w:r>
      <w:bookmarkStart w:id="518" w:name="_Toc26421"/>
      <w:bookmarkStart w:id="519" w:name="_Toc11513"/>
      <w:bookmarkStart w:id="520" w:name="_Toc28551"/>
      <w:bookmarkStart w:id="521" w:name="_Toc534725978"/>
      <w:bookmarkStart w:id="522" w:name="_Toc267320053"/>
      <w:bookmarkEnd w:id="516"/>
      <w:bookmarkEnd w:id="517"/>
      <w:r>
        <w:rPr>
          <w:rFonts w:ascii="Times New Roman" w:hAnsi="Times New Roman" w:hint="eastAsia"/>
          <w:lang w:val="en-US" w:eastAsia="zh-CN"/>
        </w:rPr>
        <w:t>合同签订时约定。</w:t>
      </w:r>
    </w:p>
    <w:p>
      <w:pPr>
        <w:pageBreakBefore w:val="0"/>
        <w:widowControl w:val="0"/>
        <w:kinsoku/>
        <w:wordWrap w:val="0"/>
        <w:overflowPunct/>
        <w:topLinePunct w:val="0"/>
        <w:bidi w:val="0"/>
        <w:textAlignment w:val="auto"/>
        <w:rPr>
          <w:rFonts w:ascii="Times New Roman" w:hAnsi="Times New Roman" w:hint="eastAsia"/>
        </w:rPr>
      </w:pPr>
      <w:bookmarkStart w:id="523" w:name="_Toc124174433"/>
      <w:r>
        <w:rPr>
          <w:rFonts w:ascii="Times New Roman" w:hAnsi="Times New Roman" w:hint="eastAsia"/>
          <w:b/>
          <w:bCs/>
          <w:lang w:val="en-US" w:eastAsia="zh-CN"/>
        </w:rPr>
        <w:t>五、知</w:t>
      </w:r>
      <w:r>
        <w:rPr>
          <w:rFonts w:ascii="Times New Roman" w:hAnsi="Times New Roman" w:hint="eastAsia"/>
          <w:b/>
          <w:bCs/>
        </w:rPr>
        <w:t>识产权</w:t>
      </w:r>
      <w:bookmarkEnd w:id="518"/>
      <w:bookmarkEnd w:id="523"/>
    </w:p>
    <w:p>
      <w:pPr>
        <w:pageBreakBefore w:val="0"/>
        <w:widowControl w:val="0"/>
        <w:kinsoku/>
        <w:wordWrap w:val="0"/>
        <w:overflowPunct/>
        <w:topLinePunct w:val="0"/>
        <w:bidi w:val="0"/>
        <w:textAlignment w:val="auto"/>
        <w:rPr>
          <w:rFonts w:ascii="Times New Roman" w:hAnsi="Times New Roman" w:hint="eastAsia"/>
        </w:rPr>
      </w:pPr>
      <w:bookmarkStart w:id="524" w:name="_Toc689"/>
      <w:r>
        <w:rPr>
          <w:rFonts w:ascii="Times New Roman" w:hAnsi="Times New Roman"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成交供货商因此次服务形成货物类产品包括但不限于信息平台、本地服务器、移动勘察设备、高拍仪、大数据平台、管理设施设备等均所有权均归属采购人。</w:t>
      </w:r>
    </w:p>
    <w:p>
      <w:pPr>
        <w:pageBreakBefore w:val="0"/>
        <w:widowControl w:val="0"/>
        <w:kinsoku/>
        <w:wordWrap w:val="0"/>
        <w:overflowPunct/>
        <w:topLinePunct w:val="0"/>
        <w:bidi w:val="0"/>
        <w:textAlignment w:val="auto"/>
        <w:rPr>
          <w:rFonts w:ascii="Times New Roman" w:hAnsi="Times New Roman" w:hint="eastAsia"/>
          <w:b/>
          <w:bCs/>
        </w:rPr>
      </w:pPr>
      <w:bookmarkStart w:id="525" w:name="_Toc124174434"/>
      <w:r>
        <w:rPr>
          <w:rFonts w:ascii="Times New Roman" w:hAnsi="Times New Roman" w:hint="eastAsia"/>
          <w:b/>
          <w:bCs/>
          <w:lang w:val="en-US" w:eastAsia="zh-CN"/>
        </w:rPr>
        <w:t>六、培</w:t>
      </w:r>
      <w:r>
        <w:rPr>
          <w:rFonts w:ascii="Times New Roman" w:hAnsi="Times New Roman" w:hint="eastAsia"/>
          <w:b/>
          <w:bCs/>
        </w:rPr>
        <w:t>训</w:t>
      </w:r>
      <w:bookmarkEnd w:id="525"/>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成交供应商对其提供产品的使用和操作应尽培训义务。成交供应商应提供对采购人的基本免费培训，使采购人使用人员能够正常操作。</w:t>
      </w:r>
    </w:p>
    <w:p>
      <w:pPr>
        <w:pageBreakBefore w:val="0"/>
        <w:widowControl w:val="0"/>
        <w:kinsoku/>
        <w:wordWrap w:val="0"/>
        <w:overflowPunct/>
        <w:topLinePunct w:val="0"/>
        <w:bidi w:val="0"/>
        <w:textAlignment w:val="auto"/>
        <w:rPr>
          <w:rFonts w:ascii="Times New Roman" w:hAnsi="Times New Roman" w:hint="eastAsia"/>
          <w:b/>
          <w:bCs/>
        </w:rPr>
      </w:pPr>
      <w:bookmarkStart w:id="526" w:name="_Toc124174435"/>
      <w:r>
        <w:rPr>
          <w:rFonts w:ascii="Times New Roman" w:hAnsi="Times New Roman" w:hint="eastAsia"/>
          <w:b/>
          <w:bCs/>
          <w:lang w:val="en-US" w:eastAsia="zh-CN"/>
        </w:rPr>
        <w:t>七、</w:t>
      </w:r>
      <w:bookmarkEnd w:id="519"/>
      <w:bookmarkEnd w:id="520"/>
      <w:bookmarkEnd w:id="521"/>
      <w:bookmarkEnd w:id="522"/>
      <w:bookmarkEnd w:id="524"/>
      <w:r>
        <w:rPr>
          <w:rFonts w:ascii="Times New Roman" w:hAnsi="Times New Roman" w:hint="eastAsia"/>
          <w:b/>
          <w:bCs/>
          <w:lang w:val="en-US" w:eastAsia="zh-CN"/>
        </w:rPr>
        <w:t>项</w:t>
      </w:r>
      <w:r>
        <w:rPr>
          <w:rFonts w:ascii="Times New Roman" w:hAnsi="Times New Roman" w:hint="eastAsia"/>
          <w:b/>
          <w:bCs/>
        </w:rPr>
        <w:t>目管理</w:t>
      </w:r>
      <w:bookmarkEnd w:id="526"/>
    </w:p>
    <w:p>
      <w:pPr>
        <w:pageBreakBefore w:val="0"/>
        <w:widowControl w:val="0"/>
        <w:kinsoku/>
        <w:wordWrap w:val="0"/>
        <w:overflowPunct/>
        <w:topLinePunct w:val="0"/>
        <w:bidi w:val="0"/>
        <w:textAlignment w:val="auto"/>
        <w:rPr>
          <w:rFonts w:ascii="Times New Roman" w:hAnsi="Times New Roman" w:hint="eastAsia"/>
        </w:rPr>
      </w:pPr>
      <w:r>
        <w:rPr>
          <w:rFonts w:ascii="Times New Roman" w:hAnsi="Times New Roman" w:hint="eastAsia"/>
        </w:rPr>
        <w:t>成交供应商成立项目小组，制定详细人员配置方案，负责管理及实施和维护项目进度、质量、售后，不同阶段的现场人员数量应满足采购人的要求。成交供应商应提供在7*24小时的实时技术响应，出现故障</w:t>
      </w:r>
      <w:r>
        <w:rPr>
          <w:rFonts w:ascii="Times New Roman" w:hAnsi="Times New Roman" w:hint="eastAsia"/>
          <w:lang w:val="en-US" w:eastAsia="zh-CN"/>
        </w:rPr>
        <w:t>1</w:t>
      </w:r>
      <w:r>
        <w:rPr>
          <w:rFonts w:ascii="Times New Roman" w:hAnsi="Times New Roman" w:hint="eastAsia"/>
        </w:rPr>
        <w:t>小时内</w:t>
      </w:r>
      <w:r>
        <w:rPr>
          <w:rFonts w:ascii="Times New Roman" w:hAnsi="Times New Roman" w:hint="eastAsia"/>
          <w:lang w:val="en-US" w:eastAsia="zh-CN"/>
        </w:rPr>
        <w:t>进行</w:t>
      </w:r>
      <w:r>
        <w:rPr>
          <w:rFonts w:ascii="Times New Roman" w:hAnsi="Times New Roman" w:hint="eastAsia"/>
        </w:rPr>
        <w:t>问题解答解决，故障</w:t>
      </w:r>
      <w:r>
        <w:rPr>
          <w:rFonts w:ascii="Times New Roman" w:hAnsi="Times New Roman" w:hint="eastAsia"/>
          <w:lang w:val="en-US" w:eastAsia="zh-CN"/>
        </w:rPr>
        <w:t>2</w:t>
      </w:r>
      <w:r>
        <w:rPr>
          <w:rFonts w:ascii="Times New Roman" w:hAnsi="Times New Roman" w:hint="eastAsia"/>
        </w:rPr>
        <w:t>小时内派技术人员到达现场解决，故障</w:t>
      </w:r>
      <w:r>
        <w:rPr>
          <w:rFonts w:ascii="Times New Roman" w:hAnsi="Times New Roman" w:hint="eastAsia"/>
          <w:lang w:val="en-US" w:eastAsia="zh-CN"/>
        </w:rPr>
        <w:t>12</w:t>
      </w:r>
      <w:r>
        <w:rPr>
          <w:rFonts w:ascii="Times New Roman" w:hAnsi="Times New Roman" w:hint="eastAsia"/>
        </w:rPr>
        <w:t>小时内解决完成。</w:t>
      </w:r>
    </w:p>
    <w:p>
      <w:pPr>
        <w:pageBreakBefore w:val="0"/>
        <w:widowControl w:val="0"/>
        <w:kinsoku/>
        <w:wordWrap w:val="0"/>
        <w:overflowPunct/>
        <w:topLinePunct w:val="0"/>
        <w:bidi w:val="0"/>
        <w:textAlignment w:val="auto"/>
        <w:rPr>
          <w:rFonts w:ascii="Times New Roman" w:hAnsi="Times New Roman" w:hint="eastAsia"/>
          <w:b/>
          <w:bCs/>
          <w:lang w:val="en-US" w:eastAsia="zh-CN"/>
        </w:rPr>
      </w:pPr>
      <w:r>
        <w:rPr>
          <w:rFonts w:ascii="Times New Roman" w:hAnsi="Times New Roman" w:hint="eastAsia"/>
          <w:b/>
          <w:bCs/>
          <w:lang w:val="en-US" w:eastAsia="zh-CN"/>
        </w:rPr>
        <w:t>八、服务要求</w:t>
      </w:r>
    </w:p>
    <w:p>
      <w:pPr>
        <w:pageBreakBefore w:val="0"/>
        <w:widowControl w:val="0"/>
        <w:kinsoku/>
        <w:wordWrap w:val="0"/>
        <w:overflowPunct/>
        <w:topLinePunct w:val="0"/>
        <w:bidi w:val="0"/>
        <w:textAlignment w:val="auto"/>
        <w:rPr>
          <w:rFonts w:ascii="Times New Roman" w:hAnsi="Times New Roman"/>
          <w:lang w:val="en-US" w:eastAsia="zh-CN"/>
        </w:rPr>
      </w:pPr>
      <w:r>
        <w:rPr>
          <w:rFonts w:ascii="Times New Roman" w:hAnsi="Times New Roman" w:hint="eastAsia"/>
          <w:lang w:val="en-US" w:eastAsia="zh-CN"/>
        </w:rPr>
        <w:t>质保期：两年，指定专人负责运维服务。</w:t>
      </w:r>
    </w:p>
    <w:p>
      <w:pPr>
        <w:ind w:left="0" w:firstLineChars="0" w:firstLine="0"/>
      </w:pPr>
      <w:bookmarkStart w:id="527" w:name="_Toc23389"/>
      <w:r>
        <w:br w:type="page"/>
      </w:r>
    </w:p>
    <w:p>
      <w:pPr>
        <w:pStyle w:val="1"/>
        <w:keepNext/>
        <w:keepLines/>
        <w:pageBreakBefore w:val="0"/>
        <w:widowControl w:val="0"/>
        <w:kinsoku/>
        <w:wordWrap w:val="0"/>
        <w:overflowPunct/>
        <w:topLinePunct w:val="0"/>
        <w:bidi w:val="0"/>
        <w:textAlignment w:val="auto"/>
        <w:rPr>
          <w:rFonts w:hint="eastAsia"/>
        </w:rPr>
      </w:pPr>
      <w:r>
        <w:t>第</w:t>
      </w:r>
      <w:bookmarkStart w:id="528" w:name="_Toc506278877"/>
      <w:bookmarkStart w:id="529" w:name="_Toc505867281"/>
      <w:r>
        <w:t xml:space="preserve">六章 </w:t>
      </w:r>
      <w:r>
        <w:rPr>
          <w:rFonts w:hint="eastAsia"/>
          <w:lang w:val="en-US" w:eastAsia="zh-CN"/>
        </w:rPr>
        <w:t>投标</w:t>
      </w:r>
      <w:r>
        <w:t>文件格式</w:t>
      </w:r>
      <w:bookmarkEnd w:id="527"/>
      <w:bookmarkEnd w:id="528"/>
      <w:bookmarkEnd w:id="529"/>
    </w:p>
    <w:p>
      <w:pPr>
        <w:pageBreakBefore w:val="0"/>
        <w:widowControl w:val="0"/>
        <w:kinsoku/>
        <w:wordWrap w:val="0"/>
        <w:overflowPunct/>
        <w:topLinePunct w:val="0"/>
        <w:bidi w:val="0"/>
        <w:textAlignment w:val="auto"/>
        <w:rPr>
          <w:rFonts w:ascii="Times New Roman" w:hAnsi="Times New Roman"/>
        </w:rPr>
      </w:pPr>
    </w:p>
    <w:p>
      <w:pPr>
        <w:pageBreakBefore w:val="0"/>
        <w:widowControl w:val="0"/>
        <w:kinsoku/>
        <w:wordWrap w:val="0"/>
        <w:overflowPunct/>
        <w:topLinePunct w:val="0"/>
        <w:bidi w:val="0"/>
        <w:ind w:left="0" w:firstLineChars="0" w:firstLine="0"/>
        <w:jc w:val="center"/>
        <w:textAlignment w:val="auto"/>
        <w:rPr>
          <w:rFonts w:ascii="微软雅黑" w:eastAsia="微软雅黑" w:cs="微软雅黑" w:hint="eastAsia"/>
          <w:sz w:val="32"/>
          <w:szCs w:val="32"/>
          <w:lang w:val="en-US" w:eastAsia="zh-CN"/>
        </w:rPr>
      </w:pPr>
    </w:p>
    <w:p>
      <w:pPr>
        <w:pageBreakBefore w:val="0"/>
        <w:widowControl w:val="0"/>
        <w:kinsoku/>
        <w:wordWrap w:val="0"/>
        <w:overflowPunct/>
        <w:topLinePunct w:val="0"/>
        <w:bidi w:val="0"/>
        <w:ind w:left="0" w:firstLineChars="0" w:firstLine="0"/>
        <w:jc w:val="center"/>
        <w:textAlignment w:val="auto"/>
        <w:rPr>
          <w:rFonts w:ascii="微软雅黑" w:eastAsia="微软雅黑" w:cs="微软雅黑" w:hint="eastAsia"/>
          <w:b/>
          <w:bCs/>
          <w:sz w:val="32"/>
          <w:szCs w:val="32"/>
        </w:rPr>
      </w:pPr>
      <w:r>
        <w:rPr>
          <w:rFonts w:ascii="微软雅黑" w:eastAsia="微软雅黑" w:cs="微软雅黑" w:hint="eastAsia"/>
          <w:b/>
          <w:bCs/>
          <w:sz w:val="32"/>
          <w:szCs w:val="32"/>
          <w:lang w:val="en-US" w:eastAsia="zh-CN"/>
        </w:rPr>
        <w:t>黔江海关UPS电池更新及监控扩容升级项目</w:t>
      </w:r>
    </w:p>
    <w:p>
      <w:pPr>
        <w:pageBreakBefore w:val="0"/>
        <w:widowControl w:val="0"/>
        <w:kinsoku/>
        <w:wordWrap w:val="0"/>
        <w:overflowPunct/>
        <w:topLinePunct w:val="0"/>
        <w:bidi w:val="0"/>
        <w:spacing w:line="600" w:lineRule="auto"/>
        <w:ind w:left="0" w:firstLineChars="0" w:firstLine="0"/>
        <w:jc w:val="center"/>
        <w:textAlignment w:val="auto"/>
        <w:rPr>
          <w:rFonts w:ascii="微软雅黑" w:eastAsia="微软雅黑" w:cs="微软雅黑" w:hint="eastAsia"/>
          <w:b/>
          <w:bCs/>
          <w:sz w:val="84"/>
          <w:szCs w:val="84"/>
          <w:lang w:val="en-US" w:eastAsia="zh-CN"/>
        </w:rPr>
      </w:pPr>
    </w:p>
    <w:p>
      <w:pPr>
        <w:pageBreakBefore w:val="0"/>
        <w:widowControl w:val="0"/>
        <w:kinsoku/>
        <w:wordWrap w:val="0"/>
        <w:overflowPunct/>
        <w:topLinePunct w:val="0"/>
        <w:bidi w:val="0"/>
        <w:spacing w:line="600" w:lineRule="auto"/>
        <w:ind w:left="0" w:firstLineChars="0" w:firstLine="0"/>
        <w:jc w:val="center"/>
        <w:textAlignment w:val="auto"/>
        <w:rPr>
          <w:rFonts w:ascii="微软雅黑" w:eastAsia="微软雅黑" w:cs="微软雅黑" w:hint="eastAsia"/>
          <w:b/>
          <w:bCs/>
          <w:sz w:val="84"/>
          <w:szCs w:val="84"/>
          <w:lang w:val="en-US" w:eastAsia="zh-CN"/>
        </w:rPr>
      </w:pPr>
      <w:r>
        <w:rPr>
          <w:rFonts w:ascii="微软雅黑" w:eastAsia="微软雅黑" w:cs="微软雅黑" w:hint="eastAsia"/>
          <w:b/>
          <w:bCs/>
          <w:sz w:val="84"/>
          <w:szCs w:val="84"/>
          <w:lang w:val="en-US" w:eastAsia="zh-CN"/>
        </w:rPr>
        <w:t>投标文件</w:t>
      </w:r>
    </w:p>
    <w:p>
      <w:pPr>
        <w:pageBreakBefore w:val="0"/>
        <w:widowControl w:val="0"/>
        <w:kinsoku/>
        <w:wordWrap w:val="0"/>
        <w:overflowPunct/>
        <w:topLinePunct w:val="0"/>
        <w:bidi w:val="0"/>
        <w:textAlignment w:val="auto"/>
        <w:rPr>
          <w:rFonts w:ascii="微软雅黑" w:eastAsia="微软雅黑" w:cs="微软雅黑" w:hint="eastAsia"/>
        </w:rPr>
      </w:pPr>
    </w:p>
    <w:p>
      <w:pPr>
        <w:pageBreakBefore w:val="0"/>
        <w:widowControl w:val="0"/>
        <w:kinsoku/>
        <w:wordWrap w:val="0"/>
        <w:overflowPunct/>
        <w:topLinePunct w:val="0"/>
        <w:bidi w:val="0"/>
        <w:textAlignment w:val="auto"/>
        <w:rPr>
          <w:rFonts w:ascii="微软雅黑" w:eastAsia="微软雅黑" w:cs="微软雅黑" w:hint="eastAsia"/>
        </w:rPr>
      </w:pPr>
    </w:p>
    <w:p>
      <w:pPr>
        <w:pageBreakBefore w:val="0"/>
        <w:widowControl w:val="0"/>
        <w:kinsoku/>
        <w:wordWrap w:val="0"/>
        <w:overflowPunct/>
        <w:topLinePunct w:val="0"/>
        <w:bidi w:val="0"/>
        <w:textAlignment w:val="auto"/>
        <w:rPr>
          <w:rFonts w:ascii="微软雅黑" w:eastAsia="微软雅黑" w:cs="微软雅黑" w:hint="eastAsia"/>
        </w:rPr>
      </w:pPr>
    </w:p>
    <w:p>
      <w:pPr>
        <w:pageBreakBefore w:val="0"/>
        <w:widowControl w:val="0"/>
        <w:kinsoku/>
        <w:wordWrap w:val="0"/>
        <w:overflowPunct/>
        <w:topLinePunct w:val="0"/>
        <w:bidi w:val="0"/>
        <w:textAlignment w:val="auto"/>
        <w:rPr>
          <w:rFonts w:ascii="微软雅黑" w:eastAsia="微软雅黑" w:cs="微软雅黑" w:hint="eastAsia"/>
        </w:rPr>
      </w:pPr>
    </w:p>
    <w:p>
      <w:pPr>
        <w:pageBreakBefore w:val="0"/>
        <w:widowControl w:val="0"/>
        <w:kinsoku/>
        <w:wordWrap w:val="0"/>
        <w:overflowPunct/>
        <w:topLinePunct w:val="0"/>
        <w:bidi w:val="0"/>
        <w:textAlignment w:val="auto"/>
        <w:rPr>
          <w:rFonts w:ascii="微软雅黑" w:eastAsia="微软雅黑" w:cs="微软雅黑" w:hint="eastAsia"/>
        </w:rPr>
      </w:pPr>
    </w:p>
    <w:p>
      <w:pPr>
        <w:pageBreakBefore w:val="0"/>
        <w:widowControl w:val="0"/>
        <w:kinsoku/>
        <w:wordWrap w:val="0"/>
        <w:overflowPunct/>
        <w:topLinePunct w:val="0"/>
        <w:bidi w:val="0"/>
        <w:spacing w:line="360" w:lineRule="auto"/>
        <w:ind w:left="0" w:firstLineChars="0" w:firstLine="0"/>
        <w:jc w:val="center"/>
        <w:textAlignment w:val="auto"/>
        <w:rPr>
          <w:rFonts w:ascii="微软雅黑" w:eastAsia="微软雅黑" w:cs="微软雅黑" w:hint="eastAsia"/>
          <w:b/>
          <w:bCs/>
          <w:sz w:val="32"/>
          <w:szCs w:val="32"/>
        </w:rPr>
      </w:pPr>
      <w:r>
        <w:rPr>
          <w:rFonts w:ascii="微软雅黑" w:eastAsia="微软雅黑" w:cs="微软雅黑" w:hint="eastAsia"/>
          <w:b/>
          <w:bCs/>
          <w:sz w:val="32"/>
          <w:szCs w:val="32"/>
        </w:rPr>
        <w:t>供应商：</w:t>
      </w:r>
      <w:r>
        <w:rPr>
          <w:rFonts w:ascii="微软雅黑" w:eastAsia="微软雅黑" w:cs="微软雅黑" w:hint="eastAsia"/>
          <w:b/>
          <w:bCs/>
          <w:sz w:val="32"/>
          <w:szCs w:val="32"/>
          <w:u w:val="single"/>
        </w:rPr>
        <w:t xml:space="preserve">    </w:t>
      </w:r>
      <w:r>
        <w:rPr>
          <w:rFonts w:ascii="微软雅黑" w:eastAsia="微软雅黑" w:cs="微软雅黑" w:hint="eastAsia"/>
          <w:b/>
          <w:bCs/>
          <w:sz w:val="32"/>
          <w:szCs w:val="32"/>
          <w:u w:val="single"/>
          <w:lang w:val="en-US" w:eastAsia="zh-CN"/>
        </w:rPr>
        <w:t xml:space="preserve">     </w:t>
      </w:r>
      <w:r>
        <w:rPr>
          <w:rFonts w:ascii="微软雅黑" w:eastAsia="微软雅黑" w:cs="微软雅黑" w:hint="eastAsia"/>
          <w:b/>
          <w:bCs/>
          <w:sz w:val="32"/>
          <w:szCs w:val="32"/>
          <w:u w:val="single"/>
        </w:rPr>
        <w:t xml:space="preserve">    </w:t>
      </w:r>
      <w:r>
        <w:rPr>
          <w:rFonts w:ascii="微软雅黑" w:eastAsia="微软雅黑" w:cs="微软雅黑" w:hint="eastAsia"/>
          <w:b/>
          <w:bCs/>
          <w:sz w:val="32"/>
          <w:szCs w:val="32"/>
          <w:u w:val="single"/>
          <w:lang w:val="en-US" w:eastAsia="zh-CN"/>
        </w:rPr>
        <w:t xml:space="preserve">   </w:t>
      </w:r>
      <w:r>
        <w:rPr>
          <w:rFonts w:ascii="微软雅黑" w:eastAsia="微软雅黑" w:cs="微软雅黑" w:hint="eastAsia"/>
          <w:b/>
          <w:bCs/>
          <w:sz w:val="32"/>
          <w:szCs w:val="32"/>
          <w:u w:val="single"/>
        </w:rPr>
        <w:t xml:space="preserve">          </w:t>
        <w:tab/>
      </w:r>
      <w:r>
        <w:rPr>
          <w:rFonts w:ascii="微软雅黑" w:eastAsia="微软雅黑" w:cs="微软雅黑" w:hint="eastAsia"/>
          <w:b/>
          <w:bCs/>
          <w:sz w:val="32"/>
          <w:szCs w:val="32"/>
        </w:rPr>
        <w:t>（盖章）</w:t>
      </w:r>
    </w:p>
    <w:p>
      <w:pPr>
        <w:pageBreakBefore w:val="0"/>
        <w:widowControl w:val="0"/>
        <w:kinsoku/>
        <w:wordWrap w:val="0"/>
        <w:overflowPunct/>
        <w:topLinePunct w:val="0"/>
        <w:bidi w:val="0"/>
        <w:spacing w:line="360" w:lineRule="auto"/>
        <w:jc w:val="center"/>
        <w:textAlignment w:val="auto"/>
        <w:rPr>
          <w:rFonts w:ascii="Times New Roman" w:hAnsi="Times New Roman"/>
          <w:b/>
          <w:bCs/>
        </w:rPr>
      </w:pPr>
      <w:r>
        <w:rPr>
          <w:rFonts w:ascii="微软雅黑" w:eastAsia="微软雅黑" w:cs="微软雅黑" w:hint="eastAsia"/>
          <w:b/>
          <w:bCs/>
          <w:sz w:val="32"/>
          <w:szCs w:val="32"/>
        </w:rPr>
        <w:t>法定代表人或其委托代理人：</w:t>
      </w:r>
      <w:r>
        <w:rPr>
          <w:rFonts w:ascii="微软雅黑" w:eastAsia="微软雅黑" w:cs="微软雅黑" w:hint="eastAsia"/>
          <w:b/>
          <w:bCs/>
          <w:sz w:val="32"/>
          <w:szCs w:val="32"/>
          <w:u w:val="single"/>
        </w:rPr>
        <w:t>　　　</w:t>
      </w:r>
      <w:r>
        <w:rPr>
          <w:rFonts w:ascii="微软雅黑" w:eastAsia="微软雅黑" w:cs="微软雅黑" w:hint="eastAsia"/>
          <w:b/>
          <w:bCs/>
          <w:sz w:val="32"/>
          <w:szCs w:val="32"/>
        </w:rPr>
        <w:t>（签字或盖章）</w:t>
      </w:r>
    </w:p>
    <w:p>
      <w:pPr>
        <w:rPr>
          <w:rFonts w:ascii="Times New Roman" w:hAnsi="Times New Roman"/>
        </w:rPr>
      </w:pPr>
      <w:r>
        <w:rPr>
          <w:rFonts w:ascii="Times New Roman" w:hAnsi="Times New Roman"/>
        </w:rPr>
        <w:br w:type="page"/>
      </w:r>
    </w:p>
    <w:p>
      <w:pPr>
        <w:pageBreakBefore w:val="0"/>
        <w:widowControl w:val="0"/>
        <w:kinsoku/>
        <w:wordWrap w:val="0"/>
        <w:overflowPunct/>
        <w:topLinePunct w:val="0"/>
        <w:bidi w:val="0"/>
        <w:jc w:val="center"/>
        <w:textAlignment w:val="auto"/>
        <w:rPr>
          <w:rFonts w:ascii="Times New Roman" w:hAnsi="Times New Roman" w:hint="eastAsia"/>
          <w:lang w:val="en-US" w:eastAsia="zh-CN"/>
        </w:rPr>
      </w:pPr>
      <w:bookmarkStart w:id="530" w:name="_Toc28458"/>
      <w:bookmarkStart w:id="531" w:name="_Toc7492"/>
      <w:bookmarkStart w:id="532" w:name="_Toc191908092"/>
      <w:bookmarkStart w:id="533" w:name="_Toc30087"/>
      <w:bookmarkStart w:id="534" w:name="_Toc26353"/>
      <w:r>
        <w:rPr>
          <w:rFonts w:ascii="Times New Roman" w:hAnsi="Times New Roman" w:hint="eastAsia"/>
          <w:lang w:val="en-US" w:eastAsia="zh-CN"/>
        </w:rPr>
        <w:t>目  录</w:t>
      </w:r>
      <w:bookmarkEnd w:id="530"/>
      <w:bookmarkEnd w:id="531"/>
      <w:bookmarkEnd w:id="532"/>
      <w:bookmarkEnd w:id="533"/>
      <w:bookmarkEnd w:id="534"/>
    </w:p>
    <w:p>
      <w:pPr>
        <w:pageBreakBefore w:val="0"/>
        <w:widowControl w:val="0"/>
        <w:kinsoku/>
        <w:wordWrap w:val="0"/>
        <w:overflowPunct/>
        <w:topLinePunct w:val="0"/>
        <w:bidi w:val="0"/>
        <w:textAlignment w:val="auto"/>
        <w:rPr>
          <w:rFonts w:ascii="Times New Roman" w:hAnsi="Times New Roman" w:hint="eastAsia"/>
          <w:b/>
          <w:bCs/>
          <w:lang w:val="en-US" w:eastAsia="zh-CN"/>
        </w:rPr>
      </w:pPr>
      <w:r>
        <w:rPr>
          <w:rFonts w:ascii="Times New Roman" w:hAnsi="Times New Roman" w:hint="eastAsia"/>
          <w:b/>
          <w:bCs/>
          <w:lang w:val="en-US" w:eastAsia="zh-CN"/>
        </w:rPr>
        <w:t>一、投标函部分</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（一）投标函</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（二）开标一览表格式</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（三）法定代表人身份证明及授权委托书</w:t>
      </w:r>
    </w:p>
    <w:p>
      <w:pPr>
        <w:pageBreakBefore w:val="0"/>
        <w:widowControl w:val="0"/>
        <w:kinsoku/>
        <w:wordWrap w:val="0"/>
        <w:overflowPunct/>
        <w:topLinePunct w:val="0"/>
        <w:bidi w:val="0"/>
        <w:textAlignment w:val="auto"/>
        <w:rPr>
          <w:rFonts w:ascii="Times New Roman" w:hAnsi="Times New Roman" w:hint="eastAsia"/>
          <w:b/>
          <w:bCs/>
          <w:lang w:val="en-US" w:eastAsia="zh-CN"/>
        </w:rPr>
      </w:pPr>
      <w:r>
        <w:rPr>
          <w:rFonts w:ascii="Times New Roman" w:hAnsi="Times New Roman" w:hint="eastAsia"/>
          <w:b/>
          <w:bCs/>
          <w:lang w:val="en-US" w:eastAsia="zh-CN"/>
        </w:rPr>
        <w:t>二、技术商务部分（资格审查资料）</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（一）投标人基本情况</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（二）投标人资质</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（三）承诺函</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（四）技术商务条款偏离表</w:t>
      </w:r>
    </w:p>
    <w:p>
      <w:pPr>
        <w:pageBreakBefore w:val="0"/>
        <w:widowControl w:val="0"/>
        <w:kinsoku/>
        <w:wordWrap w:val="0"/>
        <w:overflowPunct/>
        <w:topLinePunct w:val="0"/>
        <w:bidi w:val="0"/>
        <w:textAlignment w:val="auto"/>
        <w:rPr>
          <w:rFonts w:ascii="Times New Roman" w:hAnsi="Times New Roman" w:hint="eastAsia"/>
          <w:lang w:val="en-US" w:eastAsia="zh-CN"/>
        </w:rPr>
      </w:pPr>
      <w:r>
        <w:rPr>
          <w:rFonts w:ascii="Times New Roman" w:hAnsi="Times New Roman" w:hint="eastAsia"/>
          <w:lang w:val="en-US" w:eastAsia="zh-CN"/>
        </w:rPr>
        <w:t>（五）其他包括但不限于技术商务部分评分的内容</w:t>
      </w:r>
    </w:p>
    <w:p>
      <w:pPr>
        <w:rPr>
          <w:rFonts w:ascii="Times New Roman" w:hAnsi="Times New Roman" w:hint="eastAsia"/>
        </w:rPr>
      </w:pPr>
      <w:r>
        <w:rPr>
          <w:rFonts w:ascii="Times New Roman" w:hAnsi="Times New Roman" w:hint="eastAsia"/>
        </w:rPr>
        <w:br w:type="page"/>
      </w:r>
    </w:p>
    <w:p>
      <w:pPr>
        <w:bidi w:val="0"/>
        <w:ind w:left="0" w:firstLineChars="0" w:firstLine="0"/>
        <w:jc w:val="center"/>
        <w:rPr>
          <w:rFonts w:hint="eastAsia"/>
          <w:b/>
          <w:bCs/>
          <w:sz w:val="28"/>
          <w:szCs w:val="28"/>
        </w:rPr>
      </w:pPr>
      <w:bookmarkStart w:id="535" w:name="_Toc3201"/>
      <w:bookmarkStart w:id="536" w:name="_Toc191908093"/>
      <w:r>
        <w:rPr>
          <w:rFonts w:hint="eastAsia"/>
          <w:b/>
          <w:bCs/>
          <w:sz w:val="28"/>
          <w:szCs w:val="28"/>
        </w:rPr>
        <w:t>一、投标函部分</w:t>
      </w:r>
      <w:bookmarkEnd w:id="535"/>
      <w:bookmarkEnd w:id="536"/>
    </w:p>
    <w:p>
      <w:pPr>
        <w:pStyle w:val="15"/>
        <w:ind w:left="0" w:firstLineChars="0" w:firstLine="0"/>
        <w:jc w:val="center"/>
        <w:rPr>
          <w:rFonts w:hint="eastAsia"/>
          <w:b/>
          <w:bCs/>
        </w:rPr>
      </w:pPr>
      <w:bookmarkStart w:id="537" w:name="_Toc23133"/>
      <w:bookmarkStart w:id="538" w:name="_Toc191908094"/>
    </w:p>
    <w:p>
      <w:pPr>
        <w:pStyle w:val="15"/>
        <w:ind w:left="0" w:firstLineChars="0" w:firstLine="0"/>
        <w:jc w:val="center"/>
        <w:rPr>
          <w:rFonts w:ascii="宋体" w:eastAsia="宋体" w:cs="宋体" w:hint="eastAsia"/>
          <w:b/>
          <w:bCs/>
        </w:rPr>
      </w:pPr>
      <w:r>
        <w:rPr>
          <w:rFonts w:ascii="宋体" w:eastAsia="宋体" w:cs="宋体" w:hint="eastAsia"/>
          <w:b/>
          <w:bCs/>
        </w:rPr>
        <w:t>（一）投标函</w:t>
      </w:r>
      <w:bookmarkEnd w:id="537"/>
      <w:bookmarkEnd w:id="538"/>
    </w:p>
    <w:p>
      <w:pPr>
        <w:bidi w:val="0"/>
        <w:rPr>
          <w:rFonts w:hint="eastAsia"/>
        </w:rPr>
      </w:pPr>
      <w:r>
        <w:rPr>
          <w:rFonts w:hint="eastAsia"/>
        </w:rPr>
        <w:t>致：</w:t>
      </w:r>
      <w:r>
        <w:rPr>
          <w:rFonts w:hint="eastAsia"/>
          <w:lang w:eastAsia="zh-CN"/>
        </w:rPr>
        <w:t>中华人民共和国黔江海关</w:t>
      </w:r>
      <w:r>
        <w:rPr>
          <w:rFonts w:hint="eastAsia"/>
        </w:rPr>
        <w:t>（招标人）：</w:t>
      </w:r>
    </w:p>
    <w:p>
      <w:pPr>
        <w:bidi w:val="0"/>
        <w:rPr>
          <w:rFonts w:hint="eastAsia"/>
        </w:rPr>
      </w:pPr>
      <w:r>
        <w:rPr>
          <w:rFonts w:hint="eastAsia"/>
        </w:rPr>
        <w:t>_______________________（投标单位全称）授权</w:t>
      </w:r>
      <w:r>
        <w:rPr>
          <w:rFonts w:hint="eastAsia"/>
          <w:u w:val="single"/>
        </w:rPr>
        <w:t xml:space="preserve">        </w:t>
      </w:r>
      <w:r>
        <w:rPr>
          <w:rFonts w:hint="eastAsia"/>
        </w:rPr>
        <w:t>（法定代表人或委托代理人姓名）（  职务）为法定代表人或委托代理人，参加贵司组织的（招标编号：</w:t>
      </w:r>
      <w:r>
        <w:rPr>
          <w:rFonts w:hint="eastAsia"/>
          <w:u w:val="single"/>
        </w:rPr>
        <w:t xml:space="preserve">            </w:t>
      </w:r>
      <w:r>
        <w:rPr>
          <w:rFonts w:hint="eastAsia"/>
        </w:rPr>
        <w:t>、招标项目名称：</w:t>
      </w:r>
      <w:r>
        <w:rPr>
          <w:rFonts w:hint="eastAsia"/>
          <w:lang w:eastAsia="zh-CN"/>
        </w:rPr>
        <w:t>黔江海关UPS电池更新及监控扩容升级项目</w:t>
      </w:r>
      <w:r>
        <w:rPr>
          <w:rFonts w:hint="eastAsia"/>
        </w:rPr>
        <w:t>）投标的有关活动，并对</w:t>
      </w:r>
      <w:r>
        <w:rPr>
          <w:rFonts w:hint="eastAsia"/>
          <w:lang w:eastAsia="zh-CN"/>
        </w:rPr>
        <w:t>黔江海关UPS电池更新及监控扩容升级项目</w:t>
      </w:r>
      <w:r>
        <w:rPr>
          <w:rFonts w:hint="eastAsia"/>
        </w:rPr>
        <w:t>进行投标。为此：</w:t>
      </w:r>
    </w:p>
    <w:p>
      <w:pPr>
        <w:bidi w:val="0"/>
        <w:rPr>
          <w:rFonts w:hint="eastAsia"/>
        </w:rPr>
      </w:pPr>
      <w:r>
        <w:rPr>
          <w:rFonts w:hint="eastAsia"/>
        </w:rPr>
        <w:t>1、愿意按照招标文件中的一切要求，提供完成本项目的所有供货及服务工作。</w:t>
      </w:r>
    </w:p>
    <w:p>
      <w:pPr>
        <w:bidi w:val="0"/>
        <w:rPr>
          <w:rFonts w:hint="eastAsia"/>
        </w:rPr>
      </w:pPr>
      <w:r>
        <w:rPr>
          <w:rFonts w:hint="eastAsia"/>
        </w:rPr>
        <w:t>2、我们现提交的投标文件：正本1份</w:t>
      </w:r>
      <w:r>
        <w:rPr>
          <w:rFonts w:hint="eastAsia"/>
          <w:lang w:eastAsia="zh-CN"/>
        </w:rPr>
        <w:t>，</w:t>
      </w:r>
      <w:r>
        <w:rPr>
          <w:rFonts w:hint="eastAsia"/>
          <w:lang w:val="en-US" w:eastAsia="zh-CN"/>
        </w:rPr>
        <w:t>副本1分</w:t>
      </w:r>
      <w:r>
        <w:rPr>
          <w:rFonts w:hint="eastAsia"/>
        </w:rPr>
        <w:t>。</w:t>
      </w:r>
    </w:p>
    <w:p>
      <w:pPr>
        <w:bidi w:val="0"/>
        <w:rPr>
          <w:rFonts w:hint="eastAsia"/>
        </w:rPr>
      </w:pPr>
      <w:r>
        <w:rPr>
          <w:rFonts w:hint="eastAsia"/>
        </w:rPr>
        <w:t>3、我们完全理解和接受贵方招标文件的一切规定和要求，我公司完全答应招标文件中规定的所有条件和评审办法。</w:t>
      </w:r>
    </w:p>
    <w:p>
      <w:pPr>
        <w:bidi w:val="0"/>
        <w:rPr>
          <w:rFonts w:hint="eastAsia"/>
        </w:rPr>
      </w:pPr>
      <w:r>
        <w:rPr>
          <w:rFonts w:hint="eastAsia"/>
        </w:rPr>
        <w:t>4、在整个投标过程中，我方若有违规行为，贵方可按《中华人民共和招标投标法》等法律法规和《招标文件》之规定给予惩罚，我方完全接受。</w:t>
      </w:r>
    </w:p>
    <w:p>
      <w:pPr>
        <w:bidi w:val="0"/>
        <w:rPr>
          <w:rFonts w:hint="eastAsia"/>
        </w:rPr>
      </w:pPr>
      <w:r>
        <w:rPr>
          <w:rFonts w:hint="eastAsia"/>
        </w:rPr>
        <w:t>5、若我们成为中标人，我方将按照评标结果签订合同，并且严格履行合同义务。本投标函将成为合同不可分割的一部分，与合同具有同等的法律效力。</w:t>
      </w:r>
    </w:p>
    <w:p>
      <w:pPr>
        <w:bidi w:val="0"/>
        <w:rPr>
          <w:rFonts w:hint="eastAsia"/>
        </w:rPr>
      </w:pPr>
      <w:r>
        <w:rPr>
          <w:rFonts w:hint="eastAsia"/>
          <w:lang w:val="en-US" w:eastAsia="zh-CN"/>
        </w:rPr>
        <w:t>6</w:t>
      </w:r>
      <w:r>
        <w:rPr>
          <w:rFonts w:hint="eastAsia"/>
        </w:rPr>
        <w:t>、投标有效期为90日。</w:t>
      </w:r>
    </w:p>
    <w:p>
      <w:pPr>
        <w:bidi w:val="0"/>
        <w:rPr>
          <w:rFonts w:hint="eastAsia"/>
        </w:rPr>
      </w:pPr>
      <w:r>
        <w:rPr>
          <w:rFonts w:hint="eastAsia"/>
          <w:lang w:val="en-US" w:eastAsia="zh-CN"/>
        </w:rPr>
        <w:t>7</w:t>
      </w:r>
      <w:r>
        <w:rPr>
          <w:rFonts w:hint="eastAsia"/>
        </w:rPr>
        <w:t>、与本投标有关的一切往来通讯请寄：</w:t>
      </w:r>
    </w:p>
    <w:p>
      <w:pPr>
        <w:bidi w:val="0"/>
        <w:rPr>
          <w:rFonts w:hint="eastAsia"/>
        </w:rPr>
      </w:pPr>
      <w:r>
        <w:rPr>
          <w:rFonts w:hint="eastAsia"/>
        </w:rPr>
        <w:t>单位全称：_______________________________________________________</w:t>
      </w:r>
    </w:p>
    <w:p>
      <w:pPr>
        <w:bidi w:val="0"/>
        <w:rPr>
          <w:rFonts w:hint="eastAsia"/>
        </w:rPr>
      </w:pPr>
      <w:r>
        <w:rPr>
          <w:rFonts w:hint="eastAsia"/>
        </w:rPr>
        <w:t>地址：___________________________________________________________</w:t>
      </w:r>
    </w:p>
    <w:p>
      <w:pPr>
        <w:bidi w:val="0"/>
        <w:rPr>
          <w:rFonts w:hint="eastAsia"/>
        </w:rPr>
      </w:pPr>
      <w:r>
        <w:rPr>
          <w:rFonts w:hint="eastAsia"/>
        </w:rPr>
        <w:t>邮编：______________   电话：______________  传真：______________</w:t>
      </w:r>
    </w:p>
    <w:p>
      <w:pPr>
        <w:bidi w:val="0"/>
        <w:rPr>
          <w:rFonts w:hint="eastAsia"/>
        </w:rPr>
      </w:pPr>
    </w:p>
    <w:p>
      <w:pPr>
        <w:bidi w:val="0"/>
        <w:rPr>
          <w:rFonts w:hint="eastAsia"/>
        </w:rPr>
      </w:pPr>
    </w:p>
    <w:p>
      <w:pPr>
        <w:bidi w:val="0"/>
        <w:rPr>
          <w:rFonts w:hint="eastAsia"/>
        </w:rPr>
      </w:pPr>
    </w:p>
    <w:p>
      <w:pPr>
        <w:bidi w:val="0"/>
        <w:rPr>
          <w:rFonts w:hint="eastAsia"/>
        </w:rPr>
      </w:pPr>
      <w:r>
        <w:rPr>
          <w:rFonts w:hint="eastAsia"/>
        </w:rPr>
        <w:t>投标人（盖章单位公章）：</w:t>
      </w:r>
    </w:p>
    <w:p>
      <w:pPr>
        <w:bidi w:val="0"/>
        <w:rPr>
          <w:rFonts w:hint="eastAsia"/>
        </w:rPr>
      </w:pPr>
    </w:p>
    <w:p>
      <w:pPr>
        <w:bidi w:val="0"/>
        <w:rPr>
          <w:rFonts w:hint="eastAsia"/>
        </w:rPr>
      </w:pPr>
      <w:r>
        <w:rPr>
          <w:rFonts w:hint="eastAsia"/>
        </w:rPr>
        <w:t>法定代表人或其委托代理人（签字或盖章）：</w:t>
      </w:r>
    </w:p>
    <w:p>
      <w:pPr>
        <w:bidi w:val="0"/>
        <w:rPr>
          <w:rFonts w:hint="eastAsia"/>
        </w:rPr>
      </w:pPr>
    </w:p>
    <w:p>
      <w:pPr>
        <w:bidi w:val="0"/>
        <w:rPr>
          <w:rFonts w:hint="eastAsia"/>
        </w:rPr>
      </w:pPr>
      <w:r>
        <w:rPr>
          <w:rFonts w:hint="eastAsia"/>
        </w:rPr>
        <w:t>日   期：      年   月   日</w:t>
      </w:r>
    </w:p>
    <w:p>
      <w:pPr>
        <w:rPr>
          <w:rFonts w:hint="eastAsia"/>
        </w:rPr>
      </w:pPr>
      <w:r>
        <w:rPr>
          <w:rFonts w:hint="eastAsia"/>
        </w:rPr>
        <w:br w:type="page"/>
      </w:r>
    </w:p>
    <w:p>
      <w:pPr>
        <w:ind w:left="0" w:firstLineChars="0" w:firstLine="0"/>
        <w:jc w:val="center"/>
        <w:rPr>
          <w:rFonts w:hint="eastAsia"/>
          <w:b/>
          <w:bCs/>
          <w:sz w:val="28"/>
          <w:szCs w:val="36"/>
        </w:rPr>
      </w:pPr>
      <w:bookmarkStart w:id="539" w:name="_Toc20799"/>
      <w:r>
        <w:rPr>
          <w:rFonts w:hint="eastAsia"/>
          <w:b/>
          <w:bCs/>
          <w:sz w:val="28"/>
          <w:szCs w:val="36"/>
        </w:rPr>
        <w:t>（二）开标一览表</w:t>
      </w:r>
      <w:bookmarkEnd w:id="539"/>
    </w:p>
    <w:p>
      <w:pPr>
        <w:rPr>
          <w:rFonts w:eastAsia="宋体" w:hint="eastAsia"/>
          <w:lang w:eastAsia="zh-CN"/>
        </w:rPr>
      </w:pPr>
      <w:r>
        <w:rPr>
          <w:rFonts w:hint="eastAsia"/>
        </w:rPr>
        <w:t>招标项目名称：</w:t>
      </w:r>
      <w:r>
        <w:rPr>
          <w:rFonts w:hint="eastAsia"/>
          <w:lang w:eastAsia="zh-CN"/>
        </w:rPr>
        <w:t>黔江海关UPS电池更新及监控扩容升级项目</w:t>
      </w:r>
    </w:p>
    <w:p>
      <w:pPr>
        <w:rPr>
          <w:rFonts w:hint="eastAsia"/>
        </w:rPr>
      </w:pPr>
      <w:r>
        <w:rPr>
          <w:rFonts w:hint="eastAsia"/>
        </w:rPr>
        <w:t>招标编号：</w:t>
      </w:r>
    </w:p>
    <w:tbl>
      <w:tblPr>
        <w:jc w:val="cente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62"/>
        <w:gridCol w:w="2423"/>
        <w:gridCol w:w="1680"/>
        <w:gridCol w:w="1046"/>
        <w:gridCol w:w="1046"/>
        <w:gridCol w:w="1046"/>
        <w:gridCol w:w="1047"/>
        <w:gridCol w:w="960"/>
      </w:tblGrid>
      <w:tr>
        <w:trPr>
          <w:trHeight w:val="947"/>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序号</w:t>
            </w:r>
          </w:p>
        </w:tc>
        <w:tc>
          <w:tcPr>
            <w:tcW w:w="2423"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产品名称</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品牌、型号</w:t>
            </w: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数量</w:t>
            </w: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eastAsia="宋体"/>
                <w:lang w:val="en-US" w:eastAsia="zh-CN"/>
              </w:rPr>
            </w:pPr>
            <w:r>
              <w:rPr>
                <w:rFonts w:hint="eastAsia"/>
                <w:lang w:val="en-US" w:eastAsia="zh-CN"/>
              </w:rPr>
              <w:t>单位</w:t>
            </w: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单价</w:t>
            </w:r>
          </w:p>
          <w:p>
            <w:pPr>
              <w:pStyle w:val="30"/>
              <w:bidi w:val="0"/>
              <w:spacing w:line="240" w:lineRule="auto"/>
              <w:jc w:val="center"/>
              <w:rPr>
                <w:rFonts w:eastAsia="宋体" w:hint="eastAsia"/>
                <w:lang w:eastAsia="zh-CN"/>
              </w:rPr>
            </w:pPr>
            <w:r>
              <w:rPr>
                <w:rFonts w:hint="eastAsia"/>
                <w:lang w:eastAsia="zh-CN"/>
              </w:rPr>
              <w:t>（</w:t>
            </w:r>
            <w:r>
              <w:rPr>
                <w:rFonts w:hint="eastAsia"/>
                <w:lang w:val="en-US" w:eastAsia="zh-CN"/>
              </w:rPr>
              <w:t>元</w:t>
            </w:r>
            <w:r>
              <w:rPr>
                <w:rFonts w:hint="eastAsia"/>
                <w:lang w:eastAsia="zh-CN"/>
              </w:rPr>
              <w:t>）</w:t>
            </w: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eastAsia="宋体"/>
                <w:lang w:val="en-US" w:eastAsia="zh-CN"/>
              </w:rPr>
            </w:pPr>
            <w:r>
              <w:rPr>
                <w:rFonts w:hint="eastAsia"/>
                <w:lang w:val="en-US" w:eastAsia="zh-CN"/>
              </w:rPr>
              <w:t>合计（元）</w:t>
            </w: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备注</w:t>
            </w:r>
          </w:p>
        </w:tc>
      </w:tr>
      <w:tr>
        <w:trPr>
          <w:trHeight w:val="90"/>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1</w:t>
            </w:r>
          </w:p>
        </w:tc>
        <w:tc>
          <w:tcPr>
            <w:tcW w:w="2423"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left"/>
              <w:textAlignment w:val="auto"/>
              <w:rPr>
                <w:rFonts w:hint="eastAsia"/>
              </w:rPr>
            </w:pPr>
            <w:r>
              <w:rPr>
                <w:rFonts w:hint="eastAsia"/>
                <w:lang w:val="en-US" w:eastAsia="zh-CN"/>
              </w:rPr>
              <w:t>UPS电池组</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center"/>
              <w:textAlignment w:val="auto"/>
              <w:rPr>
                <w:lang w:val="en-US"/>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right"/>
              <w:rPr>
                <w:rFonts w:eastAsia="宋体"/>
                <w:lang w:val="en-US" w:eastAsia="zh-CN"/>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r>
      <w:tr>
        <w:trPr>
          <w:trHeight w:val="90"/>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2</w:t>
            </w:r>
          </w:p>
        </w:tc>
        <w:tc>
          <w:tcPr>
            <w:tcW w:w="2423"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left"/>
              <w:textAlignment w:val="auto"/>
              <w:rPr>
                <w:rFonts w:hint="eastAsia"/>
              </w:rPr>
            </w:pPr>
            <w:r>
              <w:rPr>
                <w:rFonts w:hint="eastAsia"/>
                <w:lang w:val="en-US" w:eastAsia="zh-CN"/>
              </w:rPr>
              <w:t>机房除湿机</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center"/>
              <w:textAlignment w:val="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right"/>
              <w:rPr>
                <w:rFonts w:eastAsia="宋体"/>
                <w:lang w:val="en-US" w:eastAsia="zh-CN"/>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r>
      <w:tr>
        <w:trPr>
          <w:trHeight w:val="90"/>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3</w:t>
            </w:r>
          </w:p>
        </w:tc>
        <w:tc>
          <w:tcPr>
            <w:tcW w:w="2423"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left"/>
              <w:textAlignment w:val="auto"/>
              <w:rPr>
                <w:rFonts w:hint="eastAsia"/>
              </w:rPr>
            </w:pPr>
            <w:r>
              <w:rPr>
                <w:rFonts w:hint="eastAsia"/>
                <w:lang w:val="en-US" w:eastAsia="zh-CN"/>
              </w:rPr>
              <w:t>硬盘录像机</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center"/>
              <w:textAlignment w:val="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right"/>
              <w:rPr>
                <w:rFonts w:eastAsia="宋体"/>
                <w:lang w:val="en-US" w:eastAsia="zh-CN"/>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r>
      <w:tr>
        <w:trPr>
          <w:trHeight w:val="90"/>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4</w:t>
            </w:r>
          </w:p>
        </w:tc>
        <w:tc>
          <w:tcPr>
            <w:tcW w:w="2423"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left"/>
              <w:textAlignment w:val="auto"/>
              <w:rPr>
                <w:rFonts w:hint="eastAsia"/>
              </w:rPr>
            </w:pPr>
            <w:r>
              <w:rPr>
                <w:rFonts w:hint="eastAsia"/>
                <w:lang w:val="en-US" w:eastAsia="zh-CN"/>
              </w:rPr>
              <w:t>企业级硬盘</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center"/>
              <w:textAlignment w:val="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right"/>
              <w:rPr>
                <w:rFonts w:eastAsia="宋体"/>
                <w:lang w:val="en-US" w:eastAsia="zh-CN"/>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r>
      <w:tr>
        <w:trPr>
          <w:trHeight w:val="90"/>
        </w:trPr>
        <w:tc>
          <w:tcPr>
            <w:tcW w:w="662"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5</w:t>
            </w:r>
          </w:p>
        </w:tc>
        <w:tc>
          <w:tcPr>
            <w:tcW w:w="2423"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left"/>
              <w:textAlignment w:val="auto"/>
              <w:rPr>
                <w:rFonts w:hint="eastAsia"/>
              </w:rPr>
            </w:pPr>
            <w:r>
              <w:rPr>
                <w:rFonts w:hint="eastAsia"/>
                <w:lang w:val="en-US" w:eastAsia="zh-CN"/>
              </w:rPr>
              <w:t>主机电路安全管理一体机</w:t>
            </w:r>
          </w:p>
        </w:tc>
        <w:tc>
          <w:tcPr>
            <w:tcW w:w="168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pageBreakBefore w:val="0"/>
              <w:widowControl w:val="0"/>
              <w:kinsoku/>
              <w:wordWrap w:val="0"/>
              <w:overflowPunct/>
              <w:topLinePunct w:val="0"/>
              <w:bidi w:val="0"/>
              <w:spacing w:line="240" w:lineRule="auto"/>
              <w:ind w:firstLine="0"/>
              <w:jc w:val="center"/>
              <w:textAlignment w:val="auto"/>
              <w:rPr>
                <w:rFonts w:hint="eastAsia"/>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jc w:val="right"/>
              <w:rPr>
                <w:rFonts w:eastAsia="宋体"/>
                <w:lang w:val="en-US" w:eastAsia="zh-CN"/>
              </w:rPr>
            </w:pPr>
          </w:p>
        </w:tc>
        <w:tc>
          <w:tcPr>
            <w:tcW w:w="1046"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c>
          <w:tcPr>
            <w:tcW w:w="1047"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960" w:type="dxa"/>
            <w:tcBorders>
              <w:top w:val="single" w:sz="4" w:space="0" w:color="auto"/>
              <w:left w:val="nil"/>
              <w:bottom w:val="single" w:sz="4" w:space="0" w:color="auto"/>
              <w:right w:val="single" w:sz="4" w:space="0" w:color="auto"/>
            </w:tcBorders>
            <w:noWrap/>
            <w:vAlign w:val="center"/>
          </w:tcPr>
          <w:p>
            <w:pPr>
              <w:pStyle w:val="30"/>
              <w:bidi w:val="0"/>
              <w:spacing w:line="240" w:lineRule="auto"/>
              <w:rPr>
                <w:rFonts w:hint="eastAsia"/>
              </w:rPr>
            </w:pPr>
          </w:p>
        </w:tc>
      </w:tr>
      <w:tr>
        <w:trPr>
          <w:trHeight w:val="784"/>
        </w:trPr>
        <w:tc>
          <w:tcPr>
            <w:tcW w:w="3085" w:type="dxa"/>
            <w:gridSpan w:val="2"/>
            <w:tcBorders>
              <w:top w:val="single" w:sz="4" w:space="0" w:color="auto"/>
              <w:left w:val="single" w:sz="4" w:space="0" w:color="auto"/>
              <w:bottom w:val="single" w:sz="4" w:space="0" w:color="auto"/>
              <w:right w:val="single" w:sz="4" w:space="0" w:color="auto"/>
            </w:tcBorders>
            <w:noWrap/>
            <w:vAlign w:val="center"/>
          </w:tcPr>
          <w:p>
            <w:pPr>
              <w:pStyle w:val="30"/>
              <w:bidi w:val="0"/>
              <w:rPr>
                <w:rFonts w:hint="eastAsia"/>
              </w:rPr>
            </w:pPr>
            <w:r>
              <w:rPr>
                <w:rFonts w:hint="eastAsia"/>
              </w:rPr>
              <w:t>投标含税总报价（数量*含税单价）：</w:t>
            </w:r>
          </w:p>
        </w:tc>
        <w:tc>
          <w:tcPr>
            <w:tcW w:w="6825" w:type="dxa"/>
            <w:gridSpan w:val="6"/>
            <w:tcBorders>
              <w:top w:val="single" w:sz="4" w:space="0" w:color="auto"/>
              <w:left w:val="nil"/>
              <w:bottom w:val="single" w:sz="4" w:space="0" w:color="auto"/>
              <w:right w:val="single" w:sz="4" w:space="0" w:color="auto"/>
            </w:tcBorders>
            <w:noWrap/>
          </w:tcPr>
          <w:p>
            <w:pPr>
              <w:pStyle w:val="30"/>
              <w:bidi w:val="0"/>
              <w:rPr>
                <w:rFonts w:hint="eastAsia"/>
              </w:rPr>
            </w:pPr>
          </w:p>
          <w:p>
            <w:pPr>
              <w:pStyle w:val="30"/>
              <w:bidi w:val="0"/>
              <w:rPr>
                <w:rFonts w:hint="eastAsia"/>
              </w:rPr>
            </w:pPr>
            <w:r>
              <w:rPr>
                <w:rFonts w:hint="eastAsia"/>
              </w:rPr>
              <w:t>大写：                   小写：</w:t>
            </w:r>
          </w:p>
        </w:tc>
      </w:tr>
      <w:tr>
        <w:trPr>
          <w:trHeight w:val="685"/>
        </w:trPr>
        <w:tc>
          <w:tcPr>
            <w:tcW w:w="9910" w:type="dxa"/>
            <w:gridSpan w:val="8"/>
            <w:tcBorders>
              <w:top w:val="single" w:sz="4" w:space="0" w:color="auto"/>
              <w:left w:val="single" w:sz="4" w:space="0" w:color="auto"/>
              <w:bottom w:val="single" w:sz="4" w:space="0" w:color="auto"/>
              <w:right w:val="single" w:sz="4" w:space="0" w:color="auto"/>
            </w:tcBorders>
            <w:noWrap/>
            <w:vAlign w:val="center"/>
          </w:tcPr>
          <w:p>
            <w:pPr>
              <w:pStyle w:val="30"/>
              <w:bidi w:val="0"/>
              <w:rPr>
                <w:rFonts w:hint="eastAsia"/>
              </w:rPr>
            </w:pPr>
            <w:r>
              <w:rPr>
                <w:rFonts w:hint="eastAsia"/>
                <w:lang w:val="en-US" w:eastAsia="zh-CN"/>
              </w:rPr>
              <w:t>备注</w:t>
            </w:r>
            <w:r>
              <w:rPr>
                <w:rFonts w:hint="eastAsia"/>
              </w:rPr>
              <w:t>：</w:t>
            </w:r>
          </w:p>
        </w:tc>
      </w:tr>
    </w:tbl>
    <w:p>
      <w:pPr>
        <w:rPr>
          <w:rFonts w:hint="eastAsia"/>
        </w:rPr>
      </w:pPr>
    </w:p>
    <w:p>
      <w:pPr>
        <w:rPr>
          <w:rFonts w:hint="eastAsia"/>
          <w:b/>
          <w:bCs/>
        </w:rPr>
      </w:pPr>
      <w:r>
        <w:rPr>
          <w:rFonts w:hint="eastAsia"/>
          <w:b/>
          <w:bCs/>
        </w:rPr>
        <w:t>注</w:t>
      </w:r>
      <w:r>
        <w:rPr>
          <w:rFonts w:hint="eastAsia"/>
          <w:b/>
          <w:bCs/>
          <w:lang w:eastAsia="zh-CN"/>
        </w:rPr>
        <w:t>：</w:t>
      </w:r>
      <w:r>
        <w:rPr>
          <w:rFonts w:hint="eastAsia"/>
          <w:b/>
          <w:bCs/>
        </w:rPr>
        <w:t>投标人须在报价表中按要求填写设备品牌、型号，否则作</w:t>
      </w:r>
      <w:r>
        <w:rPr>
          <w:rFonts w:hint="eastAsia"/>
          <w:b/>
          <w:bCs/>
          <w:lang w:val="en-US" w:eastAsia="zh-CN"/>
        </w:rPr>
        <w:t>否决投</w:t>
      </w:r>
      <w:r>
        <w:rPr>
          <w:rFonts w:hint="eastAsia"/>
          <w:b/>
          <w:bCs/>
        </w:rPr>
        <w:t>标处理。</w:t>
      </w:r>
    </w:p>
    <w:p>
      <w:pPr>
        <w:rPr>
          <w:rFonts w:hint="eastAsia"/>
        </w:rPr>
      </w:pPr>
    </w:p>
    <w:p>
      <w:pPr>
        <w:rPr>
          <w:rFonts w:hint="eastAsia"/>
        </w:rPr>
      </w:pPr>
      <w:r>
        <w:rPr>
          <w:rFonts w:hint="eastAsia"/>
        </w:rPr>
        <w:t>投标人：（盖单位公章）</w:t>
      </w:r>
    </w:p>
    <w:p>
      <w:pPr>
        <w:rPr>
          <w:rFonts w:hint="eastAsia"/>
        </w:rPr>
      </w:pPr>
      <w:r>
        <w:rPr>
          <w:rFonts w:hint="eastAsia"/>
        </w:rPr>
        <w:t>法定代表人或其委托代理人：（签字或盖章）</w:t>
      </w:r>
    </w:p>
    <w:p>
      <w:pPr>
        <w:rPr>
          <w:rFonts w:hint="eastAsia"/>
        </w:rPr>
      </w:pPr>
      <w:r>
        <w:rPr>
          <w:rFonts w:hint="eastAsia"/>
        </w:rPr>
        <w:t>日期：      年   月   日</w:t>
      </w:r>
    </w:p>
    <w:p>
      <w:pPr>
        <w:rPr>
          <w:rFonts w:hint="eastAsia"/>
        </w:rPr>
      </w:pPr>
      <w:r>
        <w:rPr>
          <w:rFonts w:hint="eastAsia"/>
        </w:rPr>
        <w:br w:type="page"/>
      </w:r>
    </w:p>
    <w:p>
      <w:pPr>
        <w:bidi w:val="0"/>
        <w:ind w:left="0" w:firstLineChars="0" w:firstLine="0"/>
        <w:jc w:val="center"/>
        <w:rPr>
          <w:rFonts w:hint="eastAsia"/>
          <w:sz w:val="28"/>
          <w:szCs w:val="36"/>
        </w:rPr>
      </w:pPr>
      <w:r>
        <w:rPr>
          <w:rFonts w:hint="eastAsia"/>
          <w:sz w:val="28"/>
          <w:szCs w:val="36"/>
        </w:rPr>
        <w:t>（三）法定代表人身份证明及授权委托书</w:t>
      </w:r>
    </w:p>
    <w:p>
      <w:pPr>
        <w:bidi w:val="0"/>
        <w:rPr>
          <w:rFonts w:hint="eastAsia"/>
        </w:rPr>
      </w:pPr>
    </w:p>
    <w:p>
      <w:pPr>
        <w:bidi w:val="0"/>
        <w:ind w:left="0" w:firstLineChars="0" w:firstLine="0"/>
        <w:jc w:val="center"/>
        <w:rPr>
          <w:rFonts w:hint="eastAsia"/>
          <w:b/>
          <w:bCs/>
        </w:rPr>
      </w:pPr>
      <w:r>
        <w:rPr>
          <w:rFonts w:hint="eastAsia"/>
          <w:b/>
          <w:bCs/>
        </w:rPr>
        <w:t>法定代表人身份证明</w:t>
      </w:r>
    </w:p>
    <w:p>
      <w:pPr>
        <w:bidi w:val="0"/>
        <w:rPr>
          <w:rFonts w:hint="eastAsia"/>
        </w:rPr>
      </w:pPr>
    </w:p>
    <w:p>
      <w:pPr>
        <w:bidi w:val="0"/>
        <w:rPr>
          <w:rFonts w:hint="eastAsia"/>
          <w:u w:val="single"/>
        </w:rPr>
      </w:pPr>
      <w:r>
        <w:rPr>
          <w:rFonts w:hint="eastAsia"/>
        </w:rPr>
        <w:t>投标人名称：</w:t>
      </w:r>
      <w:r>
        <w:rPr>
          <w:rFonts w:hint="eastAsia"/>
          <w:u w:val="single"/>
        </w:rPr>
        <w:t xml:space="preserve">                               </w:t>
      </w:r>
    </w:p>
    <w:p>
      <w:pPr>
        <w:bidi w:val="0"/>
        <w:rPr>
          <w:rFonts w:hint="eastAsia"/>
        </w:rPr>
      </w:pPr>
    </w:p>
    <w:p>
      <w:pPr>
        <w:bidi w:val="0"/>
        <w:rPr>
          <w:rFonts w:hint="eastAsia"/>
          <w:u w:val="single"/>
        </w:rPr>
      </w:pPr>
      <w:r>
        <w:rPr>
          <w:rFonts w:hint="eastAsia"/>
        </w:rPr>
        <w:t>单位性质：</w:t>
      </w:r>
      <w:r>
        <w:rPr>
          <w:rFonts w:hint="eastAsia"/>
          <w:u w:val="single"/>
        </w:rPr>
        <w:t xml:space="preserve">                                 </w:t>
      </w:r>
    </w:p>
    <w:p>
      <w:pPr>
        <w:bidi w:val="0"/>
        <w:rPr>
          <w:rFonts w:hint="eastAsia"/>
        </w:rPr>
      </w:pPr>
    </w:p>
    <w:p>
      <w:pPr>
        <w:bidi w:val="0"/>
        <w:rPr>
          <w:rFonts w:hint="eastAsia"/>
          <w:u w:val="single"/>
        </w:rPr>
      </w:pPr>
      <w:r>
        <w:rPr>
          <w:rFonts w:hint="eastAsia"/>
        </w:rPr>
        <w:t>地址：</w:t>
      </w:r>
      <w:r>
        <w:rPr>
          <w:rFonts w:hint="eastAsia"/>
          <w:u w:val="single"/>
        </w:rPr>
        <w:t xml:space="preserve">                                     </w:t>
      </w:r>
    </w:p>
    <w:p>
      <w:pPr>
        <w:bidi w:val="0"/>
        <w:rPr>
          <w:rFonts w:hint="eastAsia"/>
        </w:rPr>
      </w:pPr>
    </w:p>
    <w:p>
      <w:pPr>
        <w:bidi w:val="0"/>
        <w:rPr>
          <w:rFonts w:hint="eastAsia"/>
          <w:u w:val="single"/>
        </w:rPr>
      </w:pPr>
      <w:r>
        <w:rPr>
          <w:rFonts w:hint="eastAsia"/>
        </w:rPr>
        <w:t>成立时间：</w:t>
      </w:r>
      <w:r>
        <w:rPr>
          <w:rFonts w:hint="eastAsia"/>
          <w:u w:val="single"/>
        </w:rPr>
        <w:t xml:space="preserve">          年        月        日</w:t>
      </w:r>
    </w:p>
    <w:p>
      <w:pPr>
        <w:bidi w:val="0"/>
        <w:rPr>
          <w:rFonts w:hint="eastAsia"/>
        </w:rPr>
      </w:pPr>
    </w:p>
    <w:p>
      <w:pPr>
        <w:bidi w:val="0"/>
        <w:rPr>
          <w:rFonts w:hint="eastAsia"/>
          <w:u w:val="single"/>
        </w:rPr>
      </w:pPr>
      <w:r>
        <w:rPr>
          <w:rFonts w:hint="eastAsia"/>
        </w:rPr>
        <w:t>姓名</w:t>
      </w:r>
      <w:r>
        <w:rPr>
          <w:rFonts w:hint="eastAsia"/>
          <w:u w:val="single"/>
        </w:rPr>
        <w:t xml:space="preserve">：      </w:t>
      </w:r>
      <w:r>
        <w:rPr>
          <w:rFonts w:hint="eastAsia"/>
        </w:rPr>
        <w:t>性别：</w:t>
      </w:r>
      <w:r>
        <w:rPr>
          <w:rFonts w:hint="eastAsia"/>
          <w:u w:val="single"/>
        </w:rPr>
        <w:t xml:space="preserve">      </w:t>
      </w:r>
      <w:r>
        <w:rPr>
          <w:rFonts w:hint="eastAsia"/>
        </w:rPr>
        <w:t>年龄：</w:t>
      </w:r>
      <w:r>
        <w:rPr>
          <w:rFonts w:hint="eastAsia"/>
          <w:u w:val="single"/>
        </w:rPr>
        <w:t xml:space="preserve">      </w:t>
      </w:r>
      <w:r>
        <w:rPr>
          <w:rFonts w:hint="eastAsia"/>
        </w:rPr>
        <w:t>职务：</w:t>
      </w:r>
      <w:r>
        <w:rPr>
          <w:rFonts w:hint="eastAsia"/>
          <w:u w:val="single"/>
        </w:rPr>
        <w:t xml:space="preserve">      </w:t>
      </w:r>
    </w:p>
    <w:p>
      <w:pPr>
        <w:bidi w:val="0"/>
        <w:rPr>
          <w:rFonts w:hint="eastAsia"/>
        </w:rPr>
      </w:pPr>
    </w:p>
    <w:p>
      <w:pPr>
        <w:bidi w:val="0"/>
        <w:rPr>
          <w:rFonts w:hint="eastAsia"/>
        </w:rPr>
      </w:pPr>
      <w:r>
        <w:rPr>
          <w:rFonts w:hint="eastAsia"/>
        </w:rPr>
        <w:t xml:space="preserve">系 </w:t>
      </w:r>
      <w:r>
        <w:rPr>
          <w:rFonts w:hint="eastAsia"/>
          <w:u w:val="single"/>
        </w:rPr>
        <w:t xml:space="preserve">            </w:t>
      </w:r>
      <w:r>
        <w:rPr>
          <w:rFonts w:hint="eastAsia"/>
        </w:rPr>
        <w:t>（投标人名称）的法定代表人。</w:t>
      </w:r>
    </w:p>
    <w:p>
      <w:pPr>
        <w:bidi w:val="0"/>
        <w:rPr>
          <w:rFonts w:hint="eastAsia"/>
        </w:rPr>
      </w:pPr>
    </w:p>
    <w:p>
      <w:pPr>
        <w:bidi w:val="0"/>
        <w:rPr>
          <w:rFonts w:hint="eastAsia"/>
        </w:rPr>
      </w:pPr>
      <w:r>
        <w:rPr>
          <w:rFonts w:hint="eastAsia"/>
        </w:rPr>
        <w:t>特此证明。</w:t>
      </w:r>
    </w:p>
    <w:p>
      <w:pPr>
        <w:bidi w:val="0"/>
        <w:rPr>
          <w:rFonts w:hint="eastAsia"/>
        </w:rPr>
      </w:pPr>
    </w:p>
    <w:p>
      <w:pPr>
        <w:bidi w:val="0"/>
        <w:rPr>
          <w:rFonts w:hint="eastAsia"/>
        </w:rPr>
      </w:pPr>
      <w:r>
        <w:rPr>
          <w:rFonts w:hint="eastAsia"/>
        </w:rPr>
        <w:t>投标人：</w:t>
      </w:r>
      <w:r>
        <w:rPr>
          <w:rFonts w:hint="eastAsia"/>
          <w:u w:val="single"/>
        </w:rPr>
        <w:t xml:space="preserve">               </w:t>
      </w:r>
      <w:r>
        <w:rPr>
          <w:rFonts w:hint="eastAsia"/>
        </w:rPr>
        <w:t>（盖单位公章）</w:t>
      </w:r>
    </w:p>
    <w:p>
      <w:pPr>
        <w:bidi w:val="0"/>
        <w:rPr>
          <w:rFonts w:hint="eastAsia"/>
        </w:rPr>
      </w:pPr>
    </w:p>
    <w:p>
      <w:pPr>
        <w:bidi w:val="0"/>
        <w:rPr>
          <w:rFonts w:hint="eastAsia"/>
        </w:rPr>
      </w:pPr>
      <w:r>
        <w:rPr>
          <w:rFonts w:hint="eastAsia"/>
        </w:rPr>
        <w:t>年   月   日</w:t>
      </w:r>
    </w:p>
    <w:p>
      <w:pPr>
        <w:bidi w:val="0"/>
        <w:rPr>
          <w:rFonts w:hint="eastAsia"/>
        </w:rPr>
      </w:pPr>
    </w:p>
    <w:p>
      <w:pPr>
        <w:bidi w:val="0"/>
        <w:rPr>
          <w:rFonts w:hint="eastAsia"/>
        </w:rPr>
      </w:pPr>
      <w:r>
        <w:rPr>
          <w:rFonts w:hint="eastAsia"/>
        </w:rPr>
        <w:t>附：法定代表人证明资料复印件或扫描件</w:t>
      </w:r>
    </w:p>
    <w:p>
      <w:pPr>
        <w:bidi w:val="0"/>
        <w:rPr>
          <w:rFonts w:hint="eastAsia"/>
        </w:rPr>
      </w:pPr>
    </w:p>
    <w:p>
      <w:pPr>
        <w:pStyle w:val="15"/>
        <w:rPr>
          <w:rFonts w:hint="eastAsia"/>
        </w:rPr>
      </w:pPr>
    </w:p>
    <w:p>
      <w:pPr>
        <w:bidi w:val="0"/>
        <w:rPr>
          <w:rFonts w:hint="eastAsia"/>
        </w:rPr>
      </w:pPr>
    </w:p>
    <w:p>
      <w:pPr>
        <w:bidi w:val="0"/>
        <w:rPr>
          <w:rFonts w:hint="eastAsia"/>
        </w:rPr>
      </w:pPr>
      <w:r>
        <w:rPr>
          <w:rFonts w:hint="eastAsia"/>
        </w:rPr>
        <w:t>法定代表人身份证明资料备注：中国国籍法定代表人提供本人身份证复印件或扫描件双面；外国国籍法定代表人提供本人护照（至少包括护照上的本人信息关键页）复印件或扫描件，外国国籍法定代表人提供的护照如无中文翻译还需提供中文翻译，以上要求的法定代表人身份证明资料无格式要求。</w:t>
      </w:r>
    </w:p>
    <w:p>
      <w:pPr>
        <w:rPr>
          <w:rFonts w:hint="eastAsia"/>
        </w:rPr>
      </w:pPr>
      <w:r>
        <w:rPr>
          <w:rFonts w:hint="eastAsia"/>
        </w:rPr>
        <w:br w:type="page"/>
      </w:r>
    </w:p>
    <w:p>
      <w:pPr>
        <w:bidi w:val="0"/>
        <w:ind w:left="0" w:firstLineChars="0" w:firstLine="0"/>
        <w:jc w:val="center"/>
        <w:rPr>
          <w:rFonts w:hint="eastAsia"/>
          <w:b/>
          <w:bCs/>
        </w:rPr>
      </w:pPr>
      <w:bookmarkStart w:id="540" w:name="_Toc19964"/>
      <w:bookmarkStart w:id="541" w:name="_Toc191908097"/>
      <w:r>
        <w:rPr>
          <w:rFonts w:hint="eastAsia"/>
          <w:b/>
          <w:bCs/>
        </w:rPr>
        <w:t>授权委托书</w:t>
      </w:r>
      <w:bookmarkEnd w:id="540"/>
      <w:bookmarkEnd w:id="541"/>
    </w:p>
    <w:p>
      <w:pPr>
        <w:bidi w:val="0"/>
        <w:rPr>
          <w:rFonts w:hint="eastAsia"/>
        </w:rPr>
      </w:pPr>
      <w:r>
        <w:rPr>
          <w:rFonts w:hint="eastAsia"/>
        </w:rPr>
        <w:t xml:space="preserve"> </w:t>
      </w:r>
    </w:p>
    <w:p>
      <w:pPr>
        <w:bidi w:val="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（投标人名称）的法定代表人，现委托</w:t>
      </w:r>
      <w:r>
        <w:rPr>
          <w:rFonts w:hint="eastAsia"/>
          <w:u w:val="single"/>
        </w:rPr>
        <w:t xml:space="preserve">      </w:t>
      </w:r>
      <w:r>
        <w:rPr>
          <w:rFonts w:hint="eastAsia"/>
        </w:rPr>
        <w:t>（姓名）电话：</w:t>
      </w:r>
      <w:r>
        <w:rPr>
          <w:rFonts w:hint="eastAsia"/>
          <w:u w:val="single"/>
        </w:rPr>
        <w:t xml:space="preserve">            </w:t>
      </w:r>
      <w:r>
        <w:rPr>
          <w:rFonts w:hint="eastAsia"/>
        </w:rPr>
        <w:t>为我方代理人。代理人根据授权，以我方名义签署、澄清、说明、补正、递交、撤回、修改</w:t>
      </w:r>
      <w:r>
        <w:rPr>
          <w:rFonts w:hint="eastAsia"/>
          <w:lang w:eastAsia="zh-CN"/>
        </w:rPr>
        <w:t>黔江海关UPS电池更新及监控扩容升级项目</w:t>
      </w:r>
      <w:r>
        <w:rPr>
          <w:rFonts w:hint="eastAsia"/>
        </w:rPr>
        <w:t>投标文件、签订合同和处理有关事宜，其法律后果由我方承担。</w:t>
      </w:r>
    </w:p>
    <w:p>
      <w:pPr>
        <w:bidi w:val="0"/>
        <w:rPr>
          <w:rFonts w:hint="eastAsia"/>
        </w:rPr>
      </w:pPr>
      <w:r>
        <w:rPr>
          <w:rFonts w:hint="eastAsia"/>
        </w:rPr>
        <w:t>委托期限</w:t>
      </w:r>
      <w:r>
        <w:rPr>
          <w:rFonts w:hint="eastAsia"/>
          <w:u w:val="single"/>
        </w:rPr>
        <w:t xml:space="preserve">：            </w:t>
      </w:r>
      <w:r>
        <w:rPr>
          <w:rFonts w:hint="eastAsia"/>
        </w:rPr>
        <w:t>。</w:t>
      </w:r>
    </w:p>
    <w:p>
      <w:pPr>
        <w:bidi w:val="0"/>
        <w:rPr>
          <w:rFonts w:hint="eastAsia"/>
        </w:rPr>
      </w:pPr>
      <w:r>
        <w:rPr>
          <w:rFonts w:hint="eastAsia"/>
        </w:rPr>
        <w:t>代理人无转委托权。</w:t>
      </w:r>
    </w:p>
    <w:p>
      <w:pPr>
        <w:bidi w:val="0"/>
        <w:rPr>
          <w:rFonts w:hint="eastAsia"/>
        </w:rPr>
      </w:pPr>
      <w:r>
        <w:rPr>
          <w:rFonts w:hint="eastAsia"/>
        </w:rPr>
        <w:t>附：法定代表人身份证明资料和委托代理人身份证明资料。</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bidi w:val="0"/>
        <w:jc w:val="right"/>
        <w:rPr>
          <w:rFonts w:hint="eastAsia"/>
        </w:rPr>
      </w:pPr>
      <w:r>
        <w:rPr>
          <w:rFonts w:hint="eastAsia"/>
        </w:rPr>
        <w:t>投  标  人：</w:t>
      </w:r>
      <w:r>
        <w:rPr>
          <w:rFonts w:hint="eastAsia"/>
          <w:u w:val="single"/>
        </w:rPr>
        <w:t xml:space="preserve">                  </w:t>
      </w:r>
      <w:r>
        <w:rPr>
          <w:rFonts w:hint="eastAsia"/>
        </w:rPr>
        <w:t>（盖单位公章）</w:t>
      </w:r>
    </w:p>
    <w:p>
      <w:pPr>
        <w:bidi w:val="0"/>
        <w:jc w:val="right"/>
        <w:rPr>
          <w:rFonts w:hint="eastAsia"/>
        </w:rPr>
      </w:pPr>
      <w:r>
        <w:rPr>
          <w:rFonts w:hint="eastAsia"/>
        </w:rPr>
        <w:t>法定代表人：</w:t>
      </w:r>
      <w:r>
        <w:rPr>
          <w:rFonts w:hint="eastAsia"/>
          <w:u w:val="single"/>
        </w:rPr>
        <w:t xml:space="preserve">                  </w:t>
      </w:r>
      <w:r>
        <w:rPr>
          <w:rFonts w:hint="eastAsia"/>
        </w:rPr>
        <w:t>（签字或盖章）</w:t>
      </w:r>
    </w:p>
    <w:p>
      <w:pPr>
        <w:bidi w:val="0"/>
        <w:jc w:val="right"/>
        <w:rPr>
          <w:rFonts w:hint="eastAsia"/>
        </w:rPr>
      </w:pPr>
      <w:r>
        <w:rPr>
          <w:rFonts w:hint="eastAsia"/>
        </w:rPr>
        <w:t>委托代理人：</w:t>
      </w:r>
      <w:r>
        <w:rPr>
          <w:rFonts w:hint="eastAsia"/>
          <w:u w:val="single"/>
        </w:rPr>
        <w:t xml:space="preserve">                  </w:t>
      </w:r>
      <w:r>
        <w:rPr>
          <w:rFonts w:hint="eastAsia"/>
        </w:rPr>
        <w:t>（签字或盖章）</w:t>
      </w:r>
    </w:p>
    <w:p>
      <w:pPr>
        <w:bidi w:val="0"/>
        <w:jc w:val="right"/>
        <w:rPr>
          <w:rFonts w:hint="eastAsia"/>
        </w:rPr>
      </w:pPr>
      <w:r>
        <w:rPr>
          <w:rFonts w:hint="eastAsia"/>
          <w:u w:val="single"/>
        </w:rPr>
        <w:t xml:space="preserve">        </w:t>
      </w:r>
      <w:r>
        <w:rPr>
          <w:rFonts w:hint="eastAsia"/>
        </w:rPr>
        <w:t xml:space="preserve"> 年 </w:t>
      </w:r>
      <w:r>
        <w:rPr>
          <w:rFonts w:hint="eastAsia"/>
          <w:u w:val="single"/>
        </w:rPr>
        <w:t xml:space="preserve">       </w:t>
      </w:r>
      <w:r>
        <w:rPr>
          <w:rFonts w:hint="eastAsia"/>
        </w:rPr>
        <w:t xml:space="preserve"> 月 </w:t>
      </w:r>
      <w:r>
        <w:rPr>
          <w:rFonts w:hint="eastAsia"/>
          <w:u w:val="single"/>
        </w:rPr>
        <w:t xml:space="preserve">        </w:t>
      </w:r>
      <w:r>
        <w:rPr>
          <w:rFonts w:hint="eastAsia"/>
        </w:rPr>
        <w:t>日</w:t>
      </w:r>
    </w:p>
    <w:p>
      <w:pPr>
        <w:bidi w:val="0"/>
        <w:rPr>
          <w:rFonts w:hint="eastAsia"/>
        </w:rPr>
      </w:pPr>
      <w:bookmarkStart w:id="542" w:name="_Toc8996"/>
      <w:bookmarkStart w:id="543" w:name="_Toc9882"/>
      <w:bookmarkStart w:id="544" w:name="_Toc11360"/>
      <w:bookmarkStart w:id="545" w:name="_Toc15449"/>
      <w:bookmarkStart w:id="546" w:name="_Toc98"/>
      <w:bookmarkStart w:id="547" w:name="_Toc27006"/>
    </w:p>
    <w:p>
      <w:pPr>
        <w:bidi w:val="0"/>
        <w:rPr>
          <w:rFonts w:hint="eastAsia"/>
          <w:b/>
          <w:bCs/>
        </w:rPr>
      </w:pPr>
      <w:bookmarkStart w:id="548" w:name="_Toc191908098"/>
      <w:bookmarkStart w:id="549" w:name="_Toc23107"/>
      <w:r>
        <w:rPr>
          <w:rFonts w:hint="eastAsia"/>
          <w:b/>
          <w:bCs/>
        </w:rPr>
        <w:t>注：1、法定代表人参加投标活动并签署文件的不需要授权委托书，只需提供法定代表人身份证明；非法定代表人参加投标活动及签署文件的除提供法定代表人身份证明外还须提供授权委托书。</w:t>
      </w:r>
      <w:bookmarkEnd w:id="548"/>
      <w:bookmarkEnd w:id="549"/>
    </w:p>
    <w:p>
      <w:pPr>
        <w:bidi w:val="0"/>
        <w:rPr>
          <w:rFonts w:hint="eastAsia"/>
          <w:b/>
          <w:bCs/>
        </w:rPr>
      </w:pPr>
      <w:bookmarkEnd w:id="542"/>
      <w:bookmarkEnd w:id="543"/>
      <w:bookmarkEnd w:id="544"/>
      <w:bookmarkEnd w:id="545"/>
      <w:bookmarkEnd w:id="546"/>
      <w:bookmarkEnd w:id="547"/>
      <w:r>
        <w:rPr>
          <w:rFonts w:hint="eastAsia"/>
          <w:b/>
          <w:bCs/>
        </w:rPr>
        <w:t>2.法定代表人身份证明资料和委托代理人身份证明资料是指，中国国籍人员提供本人身份证复印件或扫描件双面；外国国籍人员提供本人护照（至少包括护照上的本人信息关键页）复印件或扫描件，外国国籍人员提供的护照如无中文翻译还需提供中文翻译，以上要求的法定代表人身份证明资料和委托代理人身份证明资料无格式要求。</w:t>
      </w:r>
    </w:p>
    <w:p>
      <w:pPr>
        <w:rPr>
          <w:rFonts w:hint="eastAsia"/>
          <w:b/>
          <w:bCs/>
        </w:rPr>
      </w:pPr>
      <w:r>
        <w:rPr>
          <w:rFonts w:hint="eastAsia"/>
          <w:b/>
          <w:bCs/>
        </w:rPr>
        <w:br w:type="page"/>
      </w:r>
    </w:p>
    <w:p>
      <w:pPr>
        <w:numPr>
          <w:ilvl w:val="0"/>
          <w:numId w:val="1"/>
        </w:numPr>
        <w:bidi w:val="0"/>
        <w:ind w:left="0" w:firstLineChars="200" w:firstLine="560"/>
        <w:jc w:val="center"/>
        <w:rPr>
          <w:rFonts w:hint="eastAsia"/>
          <w:b/>
          <w:bCs/>
          <w:sz w:val="28"/>
          <w:szCs w:val="36"/>
        </w:rPr>
      </w:pPr>
      <w:bookmarkStart w:id="550" w:name="_Toc969"/>
      <w:bookmarkStart w:id="551" w:name="_Toc191908099"/>
      <w:r>
        <w:rPr>
          <w:rFonts w:hint="eastAsia"/>
          <w:b/>
          <w:bCs/>
          <w:sz w:val="28"/>
          <w:szCs w:val="36"/>
        </w:rPr>
        <w:t>技术商务部分（含资格审查资料）</w:t>
      </w:r>
      <w:bookmarkEnd w:id="550"/>
      <w:bookmarkEnd w:id="551"/>
    </w:p>
    <w:p>
      <w:pPr>
        <w:bidi w:val="0"/>
        <w:ind w:left="0" w:firstLineChars="0" w:firstLine="0"/>
        <w:jc w:val="center"/>
        <w:rPr>
          <w:rFonts w:hint="eastAsia"/>
          <w:b/>
          <w:bCs/>
          <w:sz w:val="21"/>
          <w:szCs w:val="24"/>
        </w:rPr>
      </w:pPr>
      <w:bookmarkStart w:id="552" w:name="_Toc475545994"/>
      <w:bookmarkStart w:id="553" w:name="_Toc479086601"/>
      <w:bookmarkStart w:id="554" w:name="_Toc453951229"/>
      <w:bookmarkStart w:id="555" w:name="_Toc385234431"/>
      <w:bookmarkStart w:id="556" w:name="_Toc191908100"/>
      <w:bookmarkStart w:id="557" w:name="_Toc454962962"/>
      <w:bookmarkStart w:id="558" w:name="_Toc17813"/>
      <w:bookmarkStart w:id="559" w:name="_Toc454959731"/>
      <w:bookmarkStart w:id="560" w:name="_Toc7679"/>
      <w:bookmarkStart w:id="561" w:name="_Toc4028"/>
      <w:bookmarkStart w:id="562" w:name="_Toc10080"/>
      <w:bookmarkStart w:id="563" w:name="_Toc300754818"/>
      <w:bookmarkStart w:id="564" w:name="_Toc12276"/>
    </w:p>
    <w:p>
      <w:pPr>
        <w:rPr>
          <w:rFonts w:hint="eastAsia"/>
          <w:b/>
          <w:bCs/>
          <w:sz w:val="21"/>
          <w:szCs w:val="24"/>
        </w:rPr>
      </w:pPr>
      <w:r>
        <w:rPr>
          <w:rFonts w:hint="eastAsia"/>
          <w:b/>
          <w:bCs/>
          <w:sz w:val="21"/>
          <w:szCs w:val="24"/>
        </w:rPr>
        <w:br w:type="page"/>
      </w:r>
    </w:p>
    <w:p>
      <w:pPr>
        <w:bidi w:val="0"/>
        <w:ind w:left="0" w:firstLineChars="0" w:firstLine="0"/>
        <w:jc w:val="center"/>
        <w:rPr>
          <w:rFonts w:hint="eastAsia"/>
          <w:sz w:val="28"/>
          <w:szCs w:val="36"/>
        </w:rPr>
      </w:pPr>
      <w:r>
        <w:rPr>
          <w:rFonts w:hint="eastAsia"/>
          <w:b/>
          <w:bCs/>
          <w:sz w:val="28"/>
          <w:szCs w:val="36"/>
        </w:rPr>
        <w:t>（一）投标人基本情况</w:t>
      </w:r>
      <w:bookmarkEnd w:id="552"/>
      <w:bookmarkEnd w:id="553"/>
      <w:bookmarkEnd w:id="554"/>
      <w:bookmarkEnd w:id="555"/>
      <w:bookmarkEnd w:id="556"/>
      <w:bookmarkEnd w:id="557"/>
      <w:bookmarkEnd w:id="558"/>
      <w:bookmarkEnd w:id="559"/>
      <w:bookmarkEnd w:id="560"/>
      <w:bookmarkEnd w:id="561"/>
      <w:bookmarkEnd w:id="562"/>
      <w:bookmarkEnd w:id="563"/>
      <w:bookmarkEnd w:id="564"/>
    </w:p>
    <w:p>
      <w:pPr>
        <w:bidi w:val="0"/>
        <w:ind w:left="0" w:firstLineChars="0" w:firstLine="0"/>
        <w:jc w:val="center"/>
        <w:rPr>
          <w:rFonts w:hint="eastAsia"/>
          <w:b/>
          <w:bCs/>
        </w:rPr>
      </w:pPr>
    </w:p>
    <w:p>
      <w:pPr>
        <w:bidi w:val="0"/>
        <w:ind w:left="0" w:firstLineChars="0" w:firstLine="0"/>
        <w:jc w:val="center"/>
        <w:rPr>
          <w:rFonts w:hint="eastAsia"/>
          <w:b/>
          <w:bCs/>
        </w:rPr>
      </w:pPr>
      <w:r>
        <w:rPr>
          <w:rFonts w:hint="eastAsia"/>
          <w:b/>
          <w:bCs/>
        </w:rPr>
        <w:t>（格式自拟）</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ind w:firstLineChars="0" w:firstLine="0"/>
        <w:jc w:val="center"/>
        <w:textAlignment w:val="auto"/>
        <w:rPr>
          <w:rFonts w:hint="eastAsia"/>
          <w:b/>
          <w:bCs/>
          <w:sz w:val="28"/>
          <w:szCs w:val="36"/>
        </w:rPr>
      </w:pPr>
      <w:bookmarkStart w:id="565" w:name="_Toc454959734"/>
      <w:bookmarkStart w:id="566" w:name="_Toc32461"/>
      <w:bookmarkStart w:id="567" w:name="_Toc22671"/>
      <w:bookmarkStart w:id="568" w:name="_Toc191908101"/>
      <w:bookmarkStart w:id="569" w:name="_Toc454962965"/>
      <w:bookmarkStart w:id="570" w:name="_Toc19992"/>
      <w:bookmarkStart w:id="571" w:name="_Toc479086604"/>
      <w:bookmarkStart w:id="572" w:name="_Toc15510"/>
      <w:bookmarkStart w:id="573" w:name="_Toc2250"/>
      <w:bookmarkStart w:id="574" w:name="_Toc453951232"/>
      <w:bookmarkStart w:id="575" w:name="_Toc475545997"/>
      <w:r>
        <w:rPr>
          <w:rFonts w:hint="eastAsia"/>
          <w:b/>
          <w:bCs/>
          <w:sz w:val="28"/>
          <w:szCs w:val="36"/>
        </w:rPr>
        <w:t>（二）投标人资质</w:t>
      </w:r>
      <w:bookmarkEnd w:id="565"/>
      <w:bookmarkEnd w:id="566"/>
      <w:bookmarkEnd w:id="567"/>
      <w:bookmarkEnd w:id="568"/>
      <w:bookmarkEnd w:id="569"/>
      <w:bookmarkEnd w:id="570"/>
      <w:bookmarkEnd w:id="571"/>
      <w:bookmarkEnd w:id="572"/>
      <w:bookmarkEnd w:id="573"/>
      <w:bookmarkEnd w:id="574"/>
      <w:bookmarkEnd w:id="575"/>
    </w:p>
    <w:p>
      <w:pPr>
        <w:keepNext w:val="0"/>
        <w:keepLines w:val="0"/>
        <w:pageBreakBefore w:val="0"/>
        <w:widowControl w:val="0"/>
        <w:kinsoku/>
        <w:wordWrap/>
        <w:overflowPunct/>
        <w:topLinePunct w:val="0"/>
        <w:autoSpaceDE/>
        <w:autoSpaceDN/>
        <w:bidi w:val="0"/>
        <w:adjustRightInd/>
        <w:snapToGrid/>
        <w:ind w:firstLineChars="0" w:firstLine="0"/>
        <w:jc w:val="center"/>
        <w:textAlignment w:val="auto"/>
        <w:rPr>
          <w:rFonts w:hint="eastAsia"/>
        </w:rPr>
      </w:pPr>
      <w:r>
        <w:rPr>
          <w:rFonts w:hint="eastAsia"/>
        </w:rPr>
        <w:t>按招标文件第二章投标人须知前附表1.4.1要求附相应证明文件(承诺函可不在此处)</w:t>
      </w:r>
    </w:p>
    <w:p>
      <w:pPr>
        <w:keepNext w:val="0"/>
        <w:keepLines w:val="0"/>
        <w:pageBreakBefore w:val="0"/>
        <w:widowControl w:val="0"/>
        <w:kinsoku/>
        <w:wordWrap/>
        <w:overflowPunct/>
        <w:topLinePunct w:val="0"/>
        <w:autoSpaceDE/>
        <w:autoSpaceDN/>
        <w:bidi w:val="0"/>
        <w:adjustRightInd/>
        <w:snapToGrid/>
        <w:ind w:firstLineChars="0" w:firstLine="0"/>
        <w:jc w:val="center"/>
        <w:textAlignment w:val="auto"/>
        <w:rPr>
          <w:rFonts w:hint="eastAsia"/>
          <w:b/>
          <w:bCs/>
        </w:rPr>
      </w:pPr>
      <w:r>
        <w:rPr>
          <w:rFonts w:hint="eastAsia"/>
          <w:b/>
          <w:bCs/>
        </w:rPr>
        <w:t>（格式自拟）</w:t>
      </w:r>
    </w:p>
    <w:p>
      <w:pPr>
        <w:bidi w:val="0"/>
        <w:rPr>
          <w:rFonts w:hint="eastAsia"/>
        </w:rPr>
      </w:pPr>
    </w:p>
    <w:p>
      <w:pPr>
        <w:bidi w:val="0"/>
        <w:rPr>
          <w:rFonts w:hint="eastAsia"/>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ind w:firstLineChars="0" w:firstLine="0"/>
        <w:jc w:val="center"/>
        <w:textAlignment w:val="auto"/>
        <w:rPr>
          <w:rFonts w:hint="eastAsia"/>
          <w:b/>
          <w:bCs/>
          <w:sz w:val="28"/>
          <w:szCs w:val="36"/>
        </w:rPr>
      </w:pPr>
      <w:bookmarkStart w:id="576" w:name="_Toc453951234"/>
      <w:bookmarkStart w:id="577" w:name="_Toc454962967"/>
      <w:bookmarkStart w:id="578" w:name="_Toc454959736"/>
      <w:bookmarkStart w:id="579" w:name="_Toc475545998"/>
      <w:bookmarkStart w:id="580" w:name="_Toc385234435"/>
      <w:bookmarkStart w:id="581" w:name="_Toc479086605"/>
      <w:bookmarkStart w:id="582" w:name="_Toc9312"/>
      <w:bookmarkStart w:id="583" w:name="_Toc9513"/>
      <w:bookmarkStart w:id="584" w:name="_Toc13685"/>
      <w:bookmarkStart w:id="585" w:name="_Toc25125"/>
      <w:bookmarkStart w:id="586" w:name="_Toc15608"/>
      <w:r>
        <w:rPr>
          <w:rFonts w:hint="eastAsia"/>
          <w:b/>
          <w:bCs/>
          <w:sz w:val="28"/>
          <w:szCs w:val="36"/>
        </w:rPr>
        <w:t>（三）</w:t>
      </w:r>
      <w:bookmarkEnd w:id="576"/>
      <w:bookmarkEnd w:id="577"/>
      <w:bookmarkEnd w:id="578"/>
      <w:bookmarkEnd w:id="579"/>
      <w:bookmarkEnd w:id="580"/>
      <w:bookmarkEnd w:id="581"/>
      <w:bookmarkEnd w:id="582"/>
      <w:r>
        <w:rPr>
          <w:rFonts w:hint="eastAsia"/>
          <w:b/>
          <w:bCs/>
          <w:sz w:val="28"/>
          <w:szCs w:val="36"/>
        </w:rPr>
        <w:t>承诺函</w:t>
      </w:r>
      <w:bookmarkEnd w:id="583"/>
      <w:bookmarkEnd w:id="584"/>
      <w:bookmarkEnd w:id="585"/>
      <w:bookmarkEnd w:id="586"/>
    </w:p>
    <w:p>
      <w:pPr>
        <w:bidi w:val="0"/>
        <w:ind w:left="0" w:firstLineChars="0" w:firstLine="0"/>
        <w:rPr>
          <w:rFonts w:hint="eastAsia"/>
        </w:rPr>
      </w:pPr>
      <w:r>
        <w:rPr>
          <w:rFonts w:hint="eastAsia"/>
          <w:lang w:eastAsia="zh-CN"/>
        </w:rPr>
        <w:t>中华人民共和国黔江海关</w:t>
      </w:r>
      <w:r>
        <w:rPr>
          <w:rFonts w:hint="eastAsia"/>
        </w:rPr>
        <w:t>（招标人）：</w:t>
      </w:r>
    </w:p>
    <w:p>
      <w:pPr>
        <w:bidi w:val="0"/>
        <w:rPr>
          <w:rFonts w:hint="eastAsia"/>
        </w:rPr>
      </w:pPr>
      <w:r>
        <w:rPr>
          <w:rFonts w:hint="eastAsia"/>
        </w:rPr>
        <w:t>我公司参加</w:t>
      </w:r>
      <w:r>
        <w:rPr>
          <w:rFonts w:hint="eastAsia"/>
          <w:lang w:eastAsia="zh-CN"/>
        </w:rPr>
        <w:t>黔江海关UPS电池更新及监控扩容升级项目</w:t>
      </w:r>
      <w:r>
        <w:rPr>
          <w:rFonts w:hint="eastAsia"/>
        </w:rPr>
        <w:t>投标活动，现作如下承诺（声明）：</w:t>
      </w:r>
    </w:p>
    <w:p>
      <w:pPr>
        <w:bidi w:val="0"/>
        <w:rPr>
          <w:rFonts w:hint="eastAsia"/>
        </w:rPr>
      </w:pPr>
      <w:r>
        <w:rPr>
          <w:rFonts w:hint="eastAsia"/>
        </w:rPr>
        <w:t>1.我单位具有良好的商业信誉和健全的财务会计制度；</w:t>
      </w:r>
    </w:p>
    <w:p>
      <w:pPr>
        <w:bidi w:val="0"/>
        <w:rPr>
          <w:rFonts w:hint="eastAsia"/>
        </w:rPr>
      </w:pPr>
      <w:r>
        <w:rPr>
          <w:rFonts w:hint="eastAsia"/>
        </w:rPr>
        <w:t>2.我单位有依法缴纳税收和社会保障资金的良好记录；</w:t>
      </w:r>
    </w:p>
    <w:p>
      <w:pPr>
        <w:bidi w:val="0"/>
        <w:rPr>
          <w:rFonts w:hint="eastAsia"/>
        </w:rPr>
      </w:pPr>
      <w:r>
        <w:rPr>
          <w:rFonts w:hint="eastAsia"/>
        </w:rPr>
        <w:t>3.我单位不存在下列情形之一：</w:t>
      </w:r>
    </w:p>
    <w:p>
      <w:pPr>
        <w:bidi w:val="0"/>
        <w:rPr>
          <w:rFonts w:hint="eastAsia"/>
        </w:rPr>
      </w:pPr>
      <w:r>
        <w:rPr>
          <w:rFonts w:hint="eastAsia"/>
        </w:rPr>
        <w:t>（1）与采购人存在利害关系且可能影响采购活动公正性；</w:t>
      </w:r>
    </w:p>
    <w:p>
      <w:pPr>
        <w:bidi w:val="0"/>
        <w:rPr>
          <w:rFonts w:hint="eastAsia"/>
        </w:rPr>
      </w:pPr>
      <w:r>
        <w:rPr>
          <w:rFonts w:hint="eastAsia"/>
        </w:rPr>
        <w:t>（2）与本采购项目的其他响应方为同一个单位负责人；</w:t>
      </w:r>
    </w:p>
    <w:p>
      <w:pPr>
        <w:bidi w:val="0"/>
        <w:rPr>
          <w:rFonts w:hint="eastAsia"/>
        </w:rPr>
      </w:pPr>
      <w:r>
        <w:rPr>
          <w:rFonts w:hint="eastAsia"/>
        </w:rPr>
        <w:t>（3）与本采购项目的其他响应方存在控股、管理关系；</w:t>
      </w:r>
    </w:p>
    <w:p>
      <w:pPr>
        <w:bidi w:val="0"/>
        <w:rPr>
          <w:rFonts w:hint="eastAsia"/>
        </w:rPr>
      </w:pPr>
      <w:r>
        <w:rPr>
          <w:rFonts w:hint="eastAsia"/>
        </w:rPr>
        <w:t>（4）被依法暂停或者取消投标资格；</w:t>
      </w:r>
    </w:p>
    <w:p>
      <w:pPr>
        <w:bidi w:val="0"/>
        <w:rPr>
          <w:rFonts w:hint="eastAsia"/>
        </w:rPr>
      </w:pPr>
      <w:r>
        <w:rPr>
          <w:rFonts w:hint="eastAsia"/>
        </w:rPr>
        <w:t>（5）被其他采购方列入黑名单并在其官网公布；</w:t>
      </w:r>
    </w:p>
    <w:p>
      <w:pPr>
        <w:bidi w:val="0"/>
        <w:rPr>
          <w:rFonts w:hint="eastAsia"/>
        </w:rPr>
      </w:pPr>
      <w:r>
        <w:rPr>
          <w:rFonts w:hint="eastAsia"/>
        </w:rPr>
        <w:t>（6）被责令停产停业、暂扣或者吊销许可证、暂扣或者吊销执照；</w:t>
      </w:r>
    </w:p>
    <w:p>
      <w:pPr>
        <w:bidi w:val="0"/>
        <w:rPr>
          <w:rFonts w:hint="eastAsia"/>
        </w:rPr>
      </w:pPr>
      <w:r>
        <w:rPr>
          <w:rFonts w:hint="eastAsia"/>
        </w:rPr>
        <w:t>（7）进入清算程序，或被宣告破产，或其他丧失履约能力的情形；</w:t>
      </w:r>
    </w:p>
    <w:p>
      <w:pPr>
        <w:bidi w:val="0"/>
        <w:rPr>
          <w:rFonts w:hint="eastAsia"/>
        </w:rPr>
      </w:pPr>
      <w:r>
        <w:rPr>
          <w:rFonts w:hint="eastAsia"/>
        </w:rPr>
        <w:t>（8）在最近三年内发生重大产品质量问题；</w:t>
      </w:r>
    </w:p>
    <w:p>
      <w:pPr>
        <w:bidi w:val="0"/>
        <w:rPr>
          <w:rFonts w:hint="eastAsia"/>
        </w:rPr>
      </w:pPr>
      <w:r>
        <w:rPr>
          <w:rFonts w:hint="eastAsia"/>
        </w:rPr>
        <w:t>（9）被市场监督管理机关在全国企业信用信息公示系统中列入经营异常、严重违法失信企业名单；</w:t>
      </w:r>
    </w:p>
    <w:p>
      <w:pPr>
        <w:bidi w:val="0"/>
        <w:rPr>
          <w:rFonts w:hint="eastAsia"/>
        </w:rPr>
      </w:pPr>
      <w:r>
        <w:rPr>
          <w:rFonts w:hint="eastAsia"/>
        </w:rPr>
        <w:t>（10）被列为失信被执行人名单；</w:t>
      </w:r>
    </w:p>
    <w:p>
      <w:pPr>
        <w:bidi w:val="0"/>
        <w:rPr>
          <w:rFonts w:hint="eastAsia"/>
        </w:rPr>
      </w:pPr>
      <w:r>
        <w:rPr>
          <w:rFonts w:hint="eastAsia"/>
        </w:rPr>
        <w:t>（11）所属行业属于“两高一剩”行业；</w:t>
      </w:r>
    </w:p>
    <w:p>
      <w:pPr>
        <w:bidi w:val="0"/>
        <w:rPr>
          <w:rFonts w:hint="eastAsia"/>
        </w:rPr>
      </w:pPr>
      <w:r>
        <w:rPr>
          <w:rFonts w:hint="eastAsia"/>
        </w:rPr>
        <w:t>（12）法律法规规定的其他情形。</w:t>
      </w:r>
    </w:p>
    <w:p>
      <w:pPr>
        <w:bidi w:val="0"/>
        <w:rPr>
          <w:rFonts w:hint="eastAsia"/>
        </w:rPr>
      </w:pPr>
      <w:r>
        <w:rPr>
          <w:rFonts w:hint="eastAsia"/>
        </w:rPr>
        <w:t>4.我单位承诺不进行相互串通投标，我单位承诺提交的投标文件资料不存在虚假，如存在承诺与实际不符，如我单位中标将自行承担招标人中止合同的一切后果。</w:t>
      </w:r>
    </w:p>
    <w:p>
      <w:pPr>
        <w:bidi w:val="0"/>
        <w:rPr>
          <w:rFonts w:hint="eastAsia"/>
        </w:rPr>
      </w:pPr>
      <w:r>
        <w:rPr>
          <w:rFonts w:hint="eastAsia"/>
        </w:rPr>
        <w:t>5.我单位未以联合体形式投标。</w:t>
      </w:r>
    </w:p>
    <w:p>
      <w:pPr>
        <w:bidi w:val="0"/>
        <w:rPr>
          <w:rFonts w:hint="eastAsia"/>
        </w:rPr>
      </w:pPr>
    </w:p>
    <w:p>
      <w:pPr>
        <w:bidi w:val="0"/>
        <w:rPr>
          <w:rFonts w:hint="eastAsia"/>
        </w:rPr>
      </w:pPr>
      <w:r>
        <w:rPr>
          <w:rFonts w:hint="eastAsia"/>
        </w:rPr>
        <w:t>如以上承诺（声明）与实际不符，将自行承担一切后果。</w:t>
      </w:r>
    </w:p>
    <w:p>
      <w:pPr>
        <w:bidi w:val="0"/>
        <w:rPr>
          <w:rFonts w:hint="eastAsia"/>
        </w:rPr>
      </w:pPr>
    </w:p>
    <w:p>
      <w:pPr>
        <w:bidi w:val="0"/>
        <w:jc w:val="right"/>
        <w:rPr>
          <w:rFonts w:hint="eastAsia"/>
        </w:rPr>
      </w:pPr>
    </w:p>
    <w:p>
      <w:pPr>
        <w:bidi w:val="0"/>
        <w:jc w:val="right"/>
        <w:rPr>
          <w:rFonts w:hint="eastAsia"/>
        </w:rPr>
      </w:pPr>
      <w:r>
        <w:rPr>
          <w:rFonts w:hint="eastAsia"/>
        </w:rPr>
        <w:t>投标人：</w:t>
      </w:r>
      <w:r>
        <w:rPr>
          <w:rFonts w:hint="eastAsia"/>
          <w:lang w:val="en-US" w:eastAsia="zh-CN"/>
        </w:rPr>
        <w:t xml:space="preserve">   </w:t>
      </w:r>
      <w:r>
        <w:rPr>
          <w:rFonts w:hint="eastAsia"/>
        </w:rPr>
        <w:t>（盖单位公章）</w:t>
      </w:r>
    </w:p>
    <w:p>
      <w:pPr>
        <w:bidi w:val="0"/>
        <w:jc w:val="right"/>
        <w:rPr>
          <w:rFonts w:hint="eastAsia"/>
        </w:rPr>
      </w:pPr>
      <w:r>
        <w:rPr>
          <w:rFonts w:hint="eastAsia"/>
        </w:rPr>
        <w:t xml:space="preserve">日  期：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pPr>
        <w:pStyle w:val="15"/>
        <w:rPr>
          <w:lang w:val="en-US" w:eastAsia="zh-CN"/>
        </w:rPr>
      </w:pPr>
      <w:r>
        <w:rPr>
          <w:rFonts w:hint="eastAsia"/>
        </w:rPr>
        <w:br w:type="page"/>
      </w:r>
    </w:p>
    <w:p>
      <w:pPr>
        <w:keepNext w:val="0"/>
        <w:keepLines w:val="0"/>
        <w:pageBreakBefore w:val="0"/>
        <w:widowControl w:val="0"/>
        <w:kinsoku/>
        <w:wordWrap/>
        <w:overflowPunct/>
        <w:topLinePunct w:val="0"/>
        <w:autoSpaceDE/>
        <w:autoSpaceDN/>
        <w:bidi w:val="0"/>
        <w:adjustRightInd/>
        <w:snapToGrid/>
        <w:ind w:left="0" w:firstLineChars="0" w:firstLine="0"/>
        <w:jc w:val="center"/>
        <w:textAlignment w:val="auto"/>
        <w:rPr>
          <w:rFonts w:hint="eastAsia"/>
          <w:b/>
          <w:bCs/>
          <w:sz w:val="28"/>
          <w:szCs w:val="36"/>
        </w:rPr>
      </w:pPr>
      <w:bookmarkStart w:id="587" w:name="_Toc4424"/>
      <w:r>
        <w:rPr>
          <w:rFonts w:hint="eastAsia"/>
          <w:b/>
          <w:bCs/>
          <w:sz w:val="28"/>
          <w:szCs w:val="36"/>
        </w:rPr>
        <w:t>（四）</w:t>
      </w:r>
      <w:bookmarkStart w:id="588" w:name="_Toc385234437"/>
      <w:bookmarkStart w:id="589" w:name="_Toc475546002"/>
      <w:bookmarkStart w:id="590" w:name="_Toc454962969"/>
      <w:bookmarkStart w:id="591" w:name="_Toc453951236"/>
      <w:bookmarkStart w:id="592" w:name="_Toc454959738"/>
      <w:bookmarkStart w:id="593" w:name="_Toc479086606"/>
      <w:r>
        <w:rPr>
          <w:rFonts w:hint="eastAsia"/>
          <w:b/>
          <w:bCs/>
          <w:sz w:val="28"/>
          <w:szCs w:val="36"/>
        </w:rPr>
        <w:t>技术商务条款偏离表</w:t>
      </w:r>
      <w:bookmarkEnd w:id="587"/>
    </w:p>
    <w:p>
      <w:pPr>
        <w:keepNext w:val="0"/>
        <w:keepLines w:val="0"/>
        <w:pageBreakBefore w:val="0"/>
        <w:widowControl w:val="0"/>
        <w:kinsoku/>
        <w:wordWrap/>
        <w:overflowPunct/>
        <w:topLinePunct w:val="0"/>
        <w:autoSpaceDE/>
        <w:autoSpaceDN/>
        <w:bidi w:val="0"/>
        <w:adjustRightInd/>
        <w:snapToGrid/>
        <w:ind w:left="0" w:firstLineChars="200" w:firstLine="420"/>
        <w:textAlignment w:val="auto"/>
        <w:rPr>
          <w:rFonts w:hint="eastAsia"/>
        </w:rPr>
      </w:pPr>
      <w:r>
        <w:rPr>
          <w:rFonts w:hint="eastAsia"/>
        </w:rPr>
        <w:t>技术商务条款偏离表 （偏离表中信息以“投标人须知前附表”、“合同条款”为准和“第五章 技术商务要求”为准）</w:t>
      </w:r>
    </w:p>
    <w:tbl>
      <w:tblPr>
        <w:jc w:val="left"/>
        <w:tblInd w:w="0" w:type="dxa"/>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41"/>
        <w:gridCol w:w="3631"/>
        <w:gridCol w:w="2973"/>
        <w:gridCol w:w="1793"/>
      </w:tblGrid>
      <w:tr>
        <w:trPr>
          <w:trHeight w:val="129"/>
          <w:tblHeader/>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b/>
                <w:bCs/>
              </w:rPr>
            </w:pPr>
            <w:r>
              <w:rPr>
                <w:rFonts w:hint="eastAsia"/>
                <w:b/>
                <w:bCs/>
              </w:rPr>
              <w:t>序号</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b/>
                <w:bCs/>
              </w:rPr>
            </w:pPr>
            <w:r>
              <w:rPr>
                <w:rFonts w:hint="eastAsia"/>
                <w:b/>
                <w:bCs/>
              </w:rPr>
              <w:t>招标文件商务条款</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b/>
                <w:bCs/>
              </w:rPr>
            </w:pPr>
            <w:r>
              <w:rPr>
                <w:rFonts w:hint="eastAsia"/>
                <w:b/>
                <w:bCs/>
              </w:rPr>
              <w:t>投标文件承诺及具备条件</w:t>
            </w: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b/>
                <w:bCs/>
              </w:rPr>
            </w:pPr>
            <w:r>
              <w:rPr>
                <w:rFonts w:hint="eastAsia"/>
                <w:b/>
                <w:bCs/>
              </w:rPr>
              <w:t>差异说明（正偏离或负偏离）</w:t>
            </w:r>
          </w:p>
        </w:tc>
      </w:tr>
      <w:tr>
        <w:trPr>
          <w:trHeight w:val="552"/>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1</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投标人须知前附表</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52"/>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2</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招标范围</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3</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服务期限</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4</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服务指标</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5</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服务地点</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6</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投标报价</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7</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合同条款</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r>
        <w:trPr>
          <w:trHeight w:val="566"/>
        </w:trPr>
        <w:tc>
          <w:tcPr>
            <w:tcW w:w="104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8</w:t>
            </w:r>
          </w:p>
        </w:tc>
        <w:tc>
          <w:tcPr>
            <w:tcW w:w="3631"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jc w:val="center"/>
              <w:rPr>
                <w:rFonts w:hint="eastAsia"/>
              </w:rPr>
            </w:pPr>
            <w:r>
              <w:rPr>
                <w:rFonts w:hint="eastAsia"/>
              </w:rPr>
              <w:t>第五章 技术商务要求</w:t>
            </w:r>
          </w:p>
        </w:tc>
        <w:tc>
          <w:tcPr>
            <w:tcW w:w="297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c>
          <w:tcPr>
            <w:tcW w:w="1793" w:type="dxa"/>
            <w:tcBorders>
              <w:top w:val="single" w:sz="4" w:space="0" w:color="auto"/>
              <w:left w:val="single" w:sz="4" w:space="0" w:color="auto"/>
              <w:bottom w:val="single" w:sz="4" w:space="0" w:color="auto"/>
              <w:right w:val="single" w:sz="4" w:space="0" w:color="auto"/>
            </w:tcBorders>
            <w:noWrap/>
            <w:vAlign w:val="center"/>
          </w:tcPr>
          <w:p>
            <w:pPr>
              <w:pStyle w:val="30"/>
              <w:bidi w:val="0"/>
              <w:spacing w:line="240" w:lineRule="auto"/>
              <w:rPr>
                <w:rFonts w:hint="eastAsia"/>
              </w:rPr>
            </w:pPr>
          </w:p>
        </w:tc>
      </w:tr>
    </w:tbl>
    <w:p>
      <w:pPr>
        <w:bidi w:val="0"/>
        <w:ind w:left="0" w:firstLineChars="0" w:firstLine="0"/>
        <w:rPr>
          <w:rFonts w:hint="eastAsia"/>
        </w:rPr>
      </w:pPr>
      <w:r>
        <w:rPr>
          <w:rFonts w:hint="eastAsia"/>
        </w:rPr>
        <w:t>备注：表格不够可以自行加页，无差异内容不需要填写（未填视为无差异，视为投标人满足招标文件要求），有差异部分投标人按招标文件内容逐条如实填写完全。</w:t>
      </w:r>
    </w:p>
    <w:p>
      <w:pPr>
        <w:bidi w:val="0"/>
        <w:ind w:left="0" w:firstLineChars="0" w:firstLine="0"/>
        <w:rPr>
          <w:rFonts w:hint="eastAsia"/>
        </w:rPr>
      </w:pPr>
    </w:p>
    <w:p>
      <w:pPr>
        <w:bidi w:val="0"/>
        <w:ind w:left="0" w:firstLineChars="0" w:firstLine="0"/>
        <w:rPr>
          <w:rFonts w:hint="eastAsia"/>
        </w:rPr>
      </w:pPr>
    </w:p>
    <w:p>
      <w:pPr>
        <w:bidi w:val="0"/>
        <w:ind w:left="0" w:firstLineChars="0" w:firstLine="0"/>
        <w:rPr>
          <w:rFonts w:hint="eastAsia"/>
        </w:rPr>
      </w:pPr>
      <w:r>
        <w:rPr>
          <w:rFonts w:hint="eastAsia"/>
        </w:rPr>
        <w:t>投标人全称（盖单位公章）：</w:t>
      </w:r>
    </w:p>
    <w:p>
      <w:pPr>
        <w:bidi w:val="0"/>
        <w:ind w:left="0" w:firstLineChars="0" w:firstLine="0"/>
        <w:rPr>
          <w:rFonts w:hint="eastAsia"/>
        </w:rPr>
      </w:pPr>
      <w:r>
        <w:rPr>
          <w:rFonts w:hint="eastAsia"/>
        </w:rPr>
        <w:t>法定代表人或其委托代理人：（签字或盖章）</w:t>
      </w:r>
      <w:bookmarkEnd w:id="588"/>
      <w:bookmarkEnd w:id="589"/>
      <w:bookmarkEnd w:id="590"/>
      <w:bookmarkEnd w:id="591"/>
      <w:bookmarkEnd w:id="592"/>
      <w:bookmarkEnd w:id="593"/>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afterLines="50" w:after="156"/>
        <w:ind w:left="0" w:firstLineChars="0" w:firstLine="0"/>
        <w:jc w:val="center"/>
        <w:textAlignment w:val="auto"/>
        <w:rPr>
          <w:rFonts w:hint="eastAsia"/>
          <w:lang w:val="en-US" w:eastAsia="zh-CN"/>
        </w:rPr>
      </w:pPr>
      <w:r>
        <w:rPr>
          <w:rFonts w:hint="eastAsia"/>
          <w:b/>
          <w:bCs/>
          <w:sz w:val="28"/>
          <w:szCs w:val="36"/>
        </w:rPr>
        <w:t>（五）</w:t>
      </w:r>
      <w:r>
        <w:rPr>
          <w:rFonts w:hint="eastAsia"/>
          <w:b/>
          <w:bCs/>
          <w:sz w:val="28"/>
          <w:szCs w:val="36"/>
          <w:lang w:val="en-US" w:eastAsia="zh-CN"/>
        </w:rPr>
        <w:t>设备配置清单</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05"/>
        <w:gridCol w:w="2891"/>
        <w:gridCol w:w="2284"/>
        <w:gridCol w:w="1612"/>
        <w:gridCol w:w="1949"/>
      </w:tblGrid>
      <w:tr>
        <w:tc>
          <w:tcPr>
            <w:tcW w:w="1005" w:type="dxa"/>
            <w:vAlign w:val="center"/>
          </w:tcPr>
          <w:p>
            <w:pPr>
              <w:pStyle w:val="30"/>
              <w:bidi w:val="0"/>
              <w:spacing w:line="240" w:lineRule="auto"/>
              <w:jc w:val="center"/>
              <w:rPr>
                <w:rFonts w:hint="eastAsia"/>
                <w:b/>
                <w:bCs/>
              </w:rPr>
            </w:pPr>
            <w:r>
              <w:rPr>
                <w:rFonts w:hint="eastAsia"/>
                <w:b/>
                <w:bCs/>
              </w:rPr>
              <w:t>序号</w:t>
            </w:r>
          </w:p>
        </w:tc>
        <w:tc>
          <w:tcPr>
            <w:tcW w:w="2891" w:type="dxa"/>
            <w:vAlign w:val="center"/>
          </w:tcPr>
          <w:p>
            <w:pPr>
              <w:pStyle w:val="30"/>
              <w:bidi w:val="0"/>
              <w:spacing w:line="240" w:lineRule="auto"/>
              <w:jc w:val="center"/>
              <w:rPr>
                <w:rFonts w:hint="eastAsia"/>
                <w:b/>
                <w:bCs/>
              </w:rPr>
            </w:pPr>
            <w:r>
              <w:rPr>
                <w:rFonts w:hint="eastAsia"/>
                <w:b/>
                <w:bCs/>
              </w:rPr>
              <w:t>招标条款</w:t>
            </w:r>
          </w:p>
        </w:tc>
        <w:tc>
          <w:tcPr>
            <w:tcW w:w="2284" w:type="dxa"/>
            <w:vAlign w:val="center"/>
          </w:tcPr>
          <w:p>
            <w:pPr>
              <w:pStyle w:val="30"/>
              <w:bidi w:val="0"/>
              <w:spacing w:line="240" w:lineRule="auto"/>
              <w:jc w:val="center"/>
              <w:rPr>
                <w:rFonts w:hint="eastAsia"/>
                <w:b/>
                <w:bCs/>
              </w:rPr>
            </w:pPr>
            <w:r>
              <w:rPr>
                <w:rFonts w:hint="eastAsia"/>
                <w:b/>
                <w:bCs/>
              </w:rPr>
              <w:t>投标应答</w:t>
            </w:r>
            <w:r>
              <w:rPr>
                <w:rFonts w:hint="eastAsia"/>
                <w:b/>
                <w:bCs/>
                <w:lang w:eastAsia="zh-CN"/>
              </w:rPr>
              <w:t>（</w:t>
            </w:r>
            <w:r>
              <w:rPr>
                <w:rFonts w:hint="eastAsia"/>
                <w:b/>
                <w:bCs/>
                <w:lang w:val="en-US" w:eastAsia="zh-CN"/>
              </w:rPr>
              <w:t>参数情况</w:t>
            </w:r>
            <w:r>
              <w:rPr>
                <w:rFonts w:hint="eastAsia"/>
                <w:b/>
                <w:bCs/>
                <w:lang w:eastAsia="zh-CN"/>
              </w:rPr>
              <w:t>）</w:t>
            </w:r>
          </w:p>
        </w:tc>
        <w:tc>
          <w:tcPr>
            <w:tcW w:w="1612" w:type="dxa"/>
            <w:vAlign w:val="center"/>
          </w:tcPr>
          <w:p>
            <w:pPr>
              <w:pStyle w:val="30"/>
              <w:bidi w:val="0"/>
              <w:spacing w:line="240" w:lineRule="auto"/>
              <w:jc w:val="center"/>
              <w:rPr>
                <w:rFonts w:hint="eastAsia"/>
                <w:b/>
                <w:bCs/>
              </w:rPr>
            </w:pPr>
            <w:r>
              <w:rPr>
                <w:rFonts w:hint="eastAsia"/>
                <w:b/>
                <w:bCs/>
                <w:lang w:val="en-US" w:eastAsia="zh-CN"/>
              </w:rPr>
              <w:t>佐证材料页码</w:t>
            </w:r>
          </w:p>
        </w:tc>
        <w:tc>
          <w:tcPr>
            <w:tcW w:w="1949" w:type="dxa"/>
            <w:vAlign w:val="center"/>
          </w:tcPr>
          <w:p>
            <w:pPr>
              <w:pStyle w:val="30"/>
              <w:bidi w:val="0"/>
              <w:spacing w:line="240" w:lineRule="auto"/>
              <w:jc w:val="center"/>
              <w:rPr>
                <w:rFonts w:hint="eastAsia"/>
                <w:b/>
                <w:bCs/>
              </w:rPr>
            </w:pPr>
            <w:r>
              <w:rPr>
                <w:rFonts w:hint="eastAsia"/>
                <w:b/>
                <w:bCs/>
              </w:rPr>
              <w:t>差异说明（正偏离或负偏离）</w:t>
            </w:r>
          </w:p>
        </w:tc>
      </w:tr>
      <w:tr>
        <w:tc>
          <w:tcPr>
            <w:tcW w:w="1005" w:type="dxa"/>
          </w:tcPr>
          <w:p>
            <w:pPr>
              <w:pStyle w:val="30"/>
              <w:bidi w:val="0"/>
              <w:jc w:val="center"/>
              <w:rPr>
                <w:rFonts w:eastAsia="宋体" w:hint="eastAsia"/>
                <w:lang w:val="en-US" w:eastAsia="zh-CN"/>
              </w:rPr>
            </w:pPr>
            <w:r>
              <w:rPr>
                <w:rFonts w:hint="eastAsia"/>
                <w:b/>
                <w:bCs/>
                <w:lang w:val="en-US" w:eastAsia="zh-CN"/>
              </w:rPr>
              <w:t>（一）</w:t>
            </w:r>
          </w:p>
        </w:tc>
        <w:tc>
          <w:tcPr>
            <w:tcW w:w="8736" w:type="dxa"/>
            <w:gridSpan w:val="4"/>
          </w:tcPr>
          <w:p>
            <w:pPr>
              <w:pStyle w:val="30"/>
              <w:bidi w:val="0"/>
              <w:rPr>
                <w:rFonts w:hint="eastAsia"/>
              </w:rPr>
            </w:pPr>
            <w:r>
              <w:rPr>
                <w:rFonts w:hint="eastAsia"/>
                <w:b/>
                <w:bCs/>
                <w:lang w:val="en-US" w:eastAsia="zh-CN"/>
              </w:rPr>
              <w:t>UPS电池组更换</w:t>
            </w:r>
          </w:p>
        </w:tc>
      </w:tr>
      <w:tr>
        <w:tc>
          <w:tcPr>
            <w:tcW w:w="1005" w:type="dxa"/>
            <w:vAlign w:val="center"/>
          </w:tcPr>
          <w:p>
            <w:pPr>
              <w:pStyle w:val="30"/>
              <w:bidi w:val="0"/>
              <w:spacing w:line="240" w:lineRule="auto"/>
              <w:jc w:val="center"/>
              <w:rPr>
                <w:rFonts w:eastAsia="宋体" w:hint="eastAsia"/>
                <w:lang w:val="en-US" w:eastAsia="zh-CN"/>
              </w:rPr>
            </w:pPr>
          </w:p>
        </w:tc>
        <w:tc>
          <w:tcPr>
            <w:tcW w:w="2891" w:type="dxa"/>
          </w:tcPr>
          <w:p>
            <w:pPr>
              <w:pStyle w:val="30"/>
              <w:bidi w:val="0"/>
              <w:spacing w:line="240" w:lineRule="auto"/>
              <w:rPr>
                <w:rFonts w:hint="eastAsia"/>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rFonts w:eastAsia="宋体" w:hint="eastAsia"/>
                <w:lang w:val="en-US" w:eastAsia="zh-CN"/>
              </w:rPr>
            </w:pPr>
          </w:p>
        </w:tc>
        <w:tc>
          <w:tcPr>
            <w:tcW w:w="2891" w:type="dxa"/>
          </w:tcPr>
          <w:p>
            <w:pPr>
              <w:bidi w:val="0"/>
              <w:spacing w:line="240" w:lineRule="auto"/>
              <w:ind w:left="0" w:firstLineChars="0" w:firstLine="0"/>
              <w:rPr>
                <w:rFonts w:hint="eastAsia"/>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rFonts w:eastAsia="宋体" w:hint="eastAsia"/>
                <w:lang w:val="en-US" w:eastAsia="zh-CN"/>
              </w:rPr>
            </w:pPr>
          </w:p>
        </w:tc>
        <w:tc>
          <w:tcPr>
            <w:tcW w:w="2891" w:type="dxa"/>
          </w:tcPr>
          <w:p>
            <w:pPr>
              <w:bidi w:val="0"/>
              <w:spacing w:line="240" w:lineRule="auto"/>
              <w:ind w:left="0" w:firstLineChars="0" w:firstLine="0"/>
              <w:rPr>
                <w:rFonts w:hint="eastAsia"/>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b/>
                <w:bCs/>
                <w:lang w:val="en-US" w:eastAsia="zh-CN"/>
              </w:rPr>
            </w:pPr>
            <w:r>
              <w:rPr>
                <w:rFonts w:hint="eastAsia"/>
                <w:b/>
                <w:bCs/>
                <w:lang w:val="en-US" w:eastAsia="zh-CN"/>
              </w:rPr>
              <w:t>（二）</w:t>
            </w:r>
          </w:p>
        </w:tc>
        <w:tc>
          <w:tcPr>
            <w:tcW w:w="8736" w:type="dxa"/>
            <w:gridSpan w:val="4"/>
            <w:vAlign w:val="center"/>
          </w:tcPr>
          <w:p>
            <w:pPr>
              <w:pStyle w:val="30"/>
              <w:bidi w:val="0"/>
              <w:jc w:val="left"/>
              <w:rPr>
                <w:rFonts w:hint="eastAsia"/>
                <w:b/>
                <w:bCs/>
              </w:rPr>
            </w:pPr>
            <w:r>
              <w:rPr>
                <w:rFonts w:hint="eastAsia"/>
                <w:b/>
                <w:bCs/>
              </w:rPr>
              <w:t>机房专用除湿</w:t>
            </w:r>
            <w:r>
              <w:rPr>
                <w:rFonts w:hint="eastAsia"/>
                <w:b/>
                <w:bCs/>
                <w:lang w:val="en-US" w:eastAsia="zh-CN"/>
              </w:rPr>
              <w:t>机</w:t>
            </w: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shd w:val="clear" w:color="auto" w:fill="auto"/>
            <w:vAlign w:val="center"/>
          </w:tcPr>
          <w:p>
            <w:pPr>
              <w:pStyle w:val="30"/>
              <w:bidi w:val="0"/>
              <w:spacing w:line="240" w:lineRule="auto"/>
              <w:ind w:firstLine="0"/>
              <w:jc w:val="center"/>
              <w:rPr>
                <w:rFonts w:ascii="Times New Roman" w:eastAsia="宋体" w:cs="Arial" w:hAnsi="Times New Roman" w:hint="eastAsia"/>
                <w:kern w:val="2"/>
                <w:sz w:val="21"/>
                <w:szCs w:val="24"/>
                <w:lang w:val="en-US" w:eastAsia="zh-CN" w:bidi="ar-SA"/>
              </w:rPr>
            </w:pPr>
            <w:r>
              <w:rPr>
                <w:rFonts w:hint="eastAsia"/>
                <w:b/>
                <w:bCs/>
                <w:lang w:val="en-US" w:eastAsia="zh-CN"/>
              </w:rPr>
              <w:t>（三）</w:t>
            </w:r>
          </w:p>
        </w:tc>
        <w:tc>
          <w:tcPr>
            <w:tcW w:w="8736" w:type="dxa"/>
            <w:gridSpan w:val="4"/>
            <w:shd w:val="clear" w:color="auto" w:fill="auto"/>
          </w:tcPr>
          <w:p>
            <w:pPr>
              <w:pStyle w:val="30"/>
              <w:bidi w:val="0"/>
              <w:spacing w:line="240" w:lineRule="auto"/>
              <w:ind w:firstLine="0"/>
              <w:jc w:val="left"/>
              <w:rPr>
                <w:rFonts w:hint="eastAsia"/>
              </w:rPr>
            </w:pPr>
            <w:r>
              <w:rPr>
                <w:rFonts w:hint="eastAsia"/>
                <w:b/>
                <w:bCs/>
              </w:rPr>
              <w:t>网络硬盘录像机（NVR）</w:t>
            </w: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rFonts w:hint="eastAsia"/>
                <w:b/>
                <w:bCs/>
                <w:lang w:val="en-US" w:eastAsia="zh-CN"/>
              </w:rPr>
            </w:pPr>
            <w:r>
              <w:rPr>
                <w:rFonts w:hint="eastAsia"/>
                <w:b/>
                <w:bCs/>
                <w:lang w:val="en-US" w:eastAsia="zh-CN"/>
              </w:rPr>
              <w:t>（四）</w:t>
            </w:r>
          </w:p>
        </w:tc>
        <w:tc>
          <w:tcPr>
            <w:tcW w:w="8736" w:type="dxa"/>
            <w:gridSpan w:val="4"/>
            <w:vAlign w:val="center"/>
          </w:tcPr>
          <w:p>
            <w:pPr>
              <w:pStyle w:val="30"/>
              <w:bidi w:val="0"/>
              <w:jc w:val="both"/>
              <w:rPr>
                <w:rFonts w:hint="eastAsia"/>
                <w:b/>
                <w:bCs/>
              </w:rPr>
            </w:pPr>
            <w:r>
              <w:rPr>
                <w:rFonts w:hint="eastAsia"/>
                <w:b/>
                <w:bCs/>
              </w:rPr>
              <w:t>企业级硬盘​</w:t>
            </w:r>
          </w:p>
        </w:tc>
      </w:tr>
      <w:tr>
        <w:tc>
          <w:tcPr>
            <w:tcW w:w="1005" w:type="dxa"/>
            <w:shd w:val="clear" w:color="auto" w:fill="auto"/>
            <w:vAlign w:val="center"/>
          </w:tcPr>
          <w:p>
            <w:pPr>
              <w:pStyle w:val="30"/>
              <w:bidi w:val="0"/>
              <w:spacing w:line="240" w:lineRule="auto"/>
              <w:ind w:firstLine="0"/>
              <w:jc w:val="center"/>
              <w:rPr>
                <w:rFonts w:ascii="Times New Roman" w:eastAsia="宋体" w:cs="Arial" w:hAnsi="Times New Roman" w:hint="eastAsia"/>
                <w:kern w:val="2"/>
                <w:sz w:val="21"/>
                <w:szCs w:val="24"/>
                <w:lang w:val="en-US" w:eastAsia="zh-CN" w:bidi="ar-SA"/>
              </w:rPr>
            </w:pPr>
          </w:p>
        </w:tc>
        <w:tc>
          <w:tcPr>
            <w:tcW w:w="2891" w:type="dxa"/>
            <w:shd w:val="clear" w:color="auto" w:fill="auto"/>
            <w:vAlign w:val="center"/>
          </w:tcPr>
          <w:p>
            <w:pPr>
              <w:pStyle w:val="30"/>
              <w:bidi w:val="0"/>
              <w:spacing w:line="240" w:lineRule="auto"/>
              <w:jc w:val="both"/>
              <w:rPr>
                <w:rFonts w:ascii="Times New Roman" w:eastAsia="宋体" w:cs="Arial" w:hAnsi="Times New Roman" w:hint="eastAsia"/>
                <w:kern w:val="2"/>
                <w:sz w:val="21"/>
                <w:szCs w:val="24"/>
                <w:lang w:val="en-US" w:eastAsia="zh-CN" w:bidi="ar-SA"/>
              </w:rPr>
            </w:pPr>
          </w:p>
        </w:tc>
        <w:tc>
          <w:tcPr>
            <w:tcW w:w="2284" w:type="dxa"/>
            <w:shd w:val="clear" w:color="auto" w:fill="auto"/>
            <w:vAlign w:val="center"/>
          </w:tcPr>
          <w:p>
            <w:pPr>
              <w:pStyle w:val="30"/>
              <w:bidi w:val="0"/>
              <w:spacing w:line="240" w:lineRule="auto"/>
              <w:ind w:firstLine="0"/>
              <w:jc w:val="both"/>
              <w:rPr>
                <w:rFonts w:ascii="Times New Roman" w:eastAsia="宋体" w:cs="Arial" w:hAnsi="Times New Roman" w:hint="eastAsia"/>
                <w:kern w:val="2"/>
                <w:sz w:val="21"/>
                <w:szCs w:val="24"/>
                <w:lang w:val="en-US" w:eastAsia="zh-CN" w:bidi="ar-S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shd w:val="clear" w:color="auto" w:fill="auto"/>
            <w:vAlign w:val="center"/>
          </w:tcPr>
          <w:p>
            <w:pPr>
              <w:pStyle w:val="30"/>
              <w:bidi w:val="0"/>
              <w:spacing w:line="240" w:lineRule="auto"/>
              <w:ind w:firstLine="0"/>
              <w:jc w:val="center"/>
              <w:rPr>
                <w:rFonts w:ascii="Times New Roman" w:eastAsia="宋体" w:cs="Arial" w:hAnsi="Times New Roman" w:hint="eastAsia"/>
                <w:kern w:val="2"/>
                <w:sz w:val="21"/>
                <w:szCs w:val="24"/>
                <w:lang w:val="en-US" w:eastAsia="zh-CN" w:bidi="ar-SA"/>
              </w:rPr>
            </w:pPr>
          </w:p>
        </w:tc>
        <w:tc>
          <w:tcPr>
            <w:tcW w:w="2891" w:type="dxa"/>
            <w:shd w:val="clear" w:color="auto" w:fill="auto"/>
            <w:vAlign w:val="center"/>
          </w:tcPr>
          <w:p>
            <w:pPr>
              <w:pStyle w:val="30"/>
              <w:bidi w:val="0"/>
              <w:spacing w:line="240" w:lineRule="auto"/>
              <w:jc w:val="both"/>
              <w:rPr>
                <w:rFonts w:ascii="Times New Roman" w:eastAsia="宋体" w:cs="Arial" w:hAnsi="Times New Roman" w:hint="eastAsia"/>
                <w:kern w:val="2"/>
                <w:sz w:val="21"/>
                <w:szCs w:val="24"/>
                <w:lang w:val="en-US" w:eastAsia="zh-CN" w:bidi="ar-SA"/>
              </w:rPr>
            </w:pPr>
          </w:p>
        </w:tc>
        <w:tc>
          <w:tcPr>
            <w:tcW w:w="2284" w:type="dxa"/>
            <w:shd w:val="clear" w:color="auto" w:fill="auto"/>
            <w:vAlign w:val="center"/>
          </w:tcPr>
          <w:p>
            <w:pPr>
              <w:pStyle w:val="30"/>
              <w:bidi w:val="0"/>
              <w:spacing w:line="240" w:lineRule="auto"/>
              <w:ind w:firstLine="0"/>
              <w:jc w:val="both"/>
              <w:rPr>
                <w:rFonts w:ascii="Times New Roman" w:eastAsia="宋体" w:cs="Arial" w:hAnsi="Times New Roman" w:hint="eastAsia"/>
                <w:kern w:val="2"/>
                <w:sz w:val="21"/>
                <w:szCs w:val="24"/>
                <w:lang w:val="en-US" w:eastAsia="zh-CN" w:bidi="ar-S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pStyle w:val="30"/>
              <w:bidi w:val="0"/>
              <w:spacing w:line="240" w:lineRule="auto"/>
              <w:jc w:val="both"/>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jc w:val="center"/>
              <w:rPr>
                <w:lang w:val="en-US" w:eastAsia="zh-CN"/>
              </w:rPr>
            </w:pPr>
          </w:p>
        </w:tc>
        <w:tc>
          <w:tcPr>
            <w:tcW w:w="2891" w:type="dxa"/>
          </w:tcPr>
          <w:p>
            <w:pPr>
              <w:bidi w:val="0"/>
              <w:spacing w:line="240" w:lineRule="auto"/>
              <w:ind w:left="0" w:firstLineChars="0" w:firstLine="0"/>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rPr>
          <w:trHeight w:val="90"/>
        </w:trPr>
        <w:tc>
          <w:tcPr>
            <w:tcW w:w="1005" w:type="dxa"/>
            <w:vAlign w:val="center"/>
          </w:tcPr>
          <w:p>
            <w:pPr>
              <w:pStyle w:val="30"/>
              <w:bidi w:val="0"/>
              <w:spacing w:line="240" w:lineRule="auto"/>
              <w:jc w:val="center"/>
              <w:rPr>
                <w:rFonts w:hint="eastAsia"/>
                <w:b/>
                <w:bCs/>
                <w:lang w:val="en-US" w:eastAsia="zh-CN"/>
              </w:rPr>
            </w:pPr>
            <w:r>
              <w:rPr>
                <w:rFonts w:hint="eastAsia"/>
                <w:b/>
                <w:bCs/>
                <w:lang w:val="en-US" w:eastAsia="zh-CN"/>
              </w:rPr>
              <w:t>（五）</w:t>
            </w:r>
          </w:p>
        </w:tc>
        <w:tc>
          <w:tcPr>
            <w:tcW w:w="8736" w:type="dxa"/>
            <w:gridSpan w:val="4"/>
            <w:shd w:val="clear" w:color="auto" w:fill="auto"/>
            <w:vAlign w:val="center"/>
          </w:tcPr>
          <w:p>
            <w:pPr>
              <w:pStyle w:val="30"/>
              <w:bidi w:val="0"/>
              <w:jc w:val="left"/>
              <w:rPr>
                <w:rFonts w:hint="eastAsia"/>
                <w:b/>
                <w:bCs/>
              </w:rPr>
            </w:pPr>
            <w:r>
              <w:rPr>
                <w:rFonts w:hint="eastAsia"/>
                <w:b/>
                <w:bCs/>
              </w:rPr>
              <w:t>主机电路安全管理一体机​</w:t>
            </w:r>
          </w:p>
        </w:tc>
      </w:tr>
      <w:tr>
        <w:tc>
          <w:tcPr>
            <w:tcW w:w="1005" w:type="dxa"/>
            <w:vAlign w:val="center"/>
          </w:tcPr>
          <w:p>
            <w:pPr>
              <w:pStyle w:val="30"/>
              <w:bidi w:val="0"/>
              <w:spacing w:line="240" w:lineRule="auto"/>
              <w:ind w:firstLine="0"/>
              <w:jc w:val="center"/>
              <w:rPr>
                <w:rFonts w:eastAsia="宋体" w:hint="eastAsia"/>
                <w:lang w:val="en-US" w:eastAsia="zh-CN"/>
              </w:rPr>
            </w:pPr>
          </w:p>
        </w:tc>
        <w:tc>
          <w:tcPr>
            <w:tcW w:w="2891" w:type="dxa"/>
            <w:vAlign w:val="center"/>
          </w:tcPr>
          <w:p>
            <w:pPr>
              <w:pStyle w:val="30"/>
              <w:bidi w:val="0"/>
              <w:spacing w:line="240" w:lineRule="auto"/>
              <w:jc w:val="left"/>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ind w:firstLine="0"/>
              <w:jc w:val="center"/>
              <w:rPr>
                <w:rFonts w:eastAsia="宋体" w:hint="eastAsia"/>
                <w:lang w:val="en-US" w:eastAsia="zh-CN"/>
              </w:rPr>
            </w:pPr>
          </w:p>
        </w:tc>
        <w:tc>
          <w:tcPr>
            <w:tcW w:w="2891" w:type="dxa"/>
            <w:vAlign w:val="center"/>
          </w:tcPr>
          <w:p>
            <w:pPr>
              <w:pStyle w:val="30"/>
              <w:bidi w:val="0"/>
              <w:spacing w:line="240" w:lineRule="auto"/>
              <w:jc w:val="left"/>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ind w:firstLine="0"/>
              <w:jc w:val="center"/>
              <w:rPr>
                <w:rFonts w:eastAsia="宋体" w:hint="eastAsia"/>
                <w:lang w:val="en-US" w:eastAsia="zh-CN"/>
              </w:rPr>
            </w:pPr>
          </w:p>
        </w:tc>
        <w:tc>
          <w:tcPr>
            <w:tcW w:w="2891" w:type="dxa"/>
            <w:vAlign w:val="center"/>
          </w:tcPr>
          <w:p>
            <w:pPr>
              <w:pStyle w:val="30"/>
              <w:bidi w:val="0"/>
              <w:spacing w:line="240" w:lineRule="auto"/>
              <w:jc w:val="left"/>
              <w:rPr>
                <w:rFonts w:hint="eastAsia"/>
                <w:lang w:val="en-US" w:eastAsia="zh-CN"/>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r>
        <w:tc>
          <w:tcPr>
            <w:tcW w:w="1005" w:type="dxa"/>
            <w:vAlign w:val="center"/>
          </w:tcPr>
          <w:p>
            <w:pPr>
              <w:pStyle w:val="30"/>
              <w:bidi w:val="0"/>
              <w:spacing w:line="240" w:lineRule="auto"/>
              <w:ind w:firstLine="0"/>
              <w:jc w:val="center"/>
              <w:rPr>
                <w:rFonts w:eastAsia="宋体" w:hint="eastAsia"/>
                <w:lang w:val="en-US" w:eastAsia="zh-CN"/>
              </w:rPr>
            </w:pPr>
          </w:p>
        </w:tc>
        <w:tc>
          <w:tcPr>
            <w:tcW w:w="2891" w:type="dxa"/>
            <w:vAlign w:val="center"/>
          </w:tcPr>
          <w:p>
            <w:pPr>
              <w:pStyle w:val="30"/>
              <w:bidi w:val="0"/>
              <w:spacing w:line="240" w:lineRule="auto"/>
              <w:ind w:firstLine="0"/>
              <w:jc w:val="left"/>
              <w:rPr>
                <w:rFonts w:hint="eastAsia"/>
              </w:rPr>
            </w:pPr>
          </w:p>
        </w:tc>
        <w:tc>
          <w:tcPr>
            <w:tcW w:w="2284" w:type="dxa"/>
          </w:tcPr>
          <w:p>
            <w:pPr>
              <w:pStyle w:val="30"/>
              <w:bidi w:val="0"/>
              <w:rPr>
                <w:rFonts w:hint="eastAsia"/>
              </w:rPr>
            </w:pPr>
          </w:p>
        </w:tc>
        <w:tc>
          <w:tcPr>
            <w:tcW w:w="1612" w:type="dxa"/>
          </w:tcPr>
          <w:p>
            <w:pPr>
              <w:pStyle w:val="30"/>
              <w:bidi w:val="0"/>
              <w:rPr>
                <w:rFonts w:hint="eastAsia"/>
              </w:rPr>
            </w:pPr>
          </w:p>
        </w:tc>
        <w:tc>
          <w:tcPr>
            <w:tcW w:w="1949" w:type="dxa"/>
          </w:tcPr>
          <w:p>
            <w:pPr>
              <w:pStyle w:val="30"/>
              <w:bidi w:val="0"/>
              <w:rPr>
                <w:rFonts w:hint="eastAsia"/>
              </w:rPr>
            </w:pPr>
          </w:p>
        </w:tc>
      </w:tr>
    </w:tbl>
    <w:p>
      <w:pPr>
        <w:ind w:left="0" w:firstLineChars="0" w:firstLine="0"/>
        <w:jc w:val="center"/>
        <w:rPr>
          <w:rFonts w:hint="eastAsia"/>
          <w:b/>
          <w:bCs/>
          <w:sz w:val="28"/>
          <w:szCs w:val="36"/>
          <w:lang w:val="en-US" w:eastAsia="zh-CN"/>
        </w:rPr>
      </w:pPr>
      <w:r>
        <w:rPr>
          <w:rFonts w:hint="eastAsia"/>
          <w:b/>
          <w:bCs/>
          <w:sz w:val="28"/>
          <w:szCs w:val="36"/>
          <w:lang w:val="en-US" w:eastAsia="zh-CN"/>
        </w:rPr>
        <w:t xml:space="preserve">      </w:t>
      </w:r>
    </w:p>
    <w:p>
      <w:pPr>
        <w:pStyle w:val="15"/>
        <w:rPr>
          <w:rFonts w:hint="eastAsia"/>
          <w:b/>
          <w:bCs/>
          <w:sz w:val="28"/>
          <w:szCs w:val="36"/>
          <w:lang w:val="en-US" w:eastAsia="zh-CN"/>
        </w:rPr>
      </w:pPr>
    </w:p>
    <w:p>
      <w:pPr>
        <w:rPr>
          <w:rFonts w:hint="eastAsia"/>
          <w:b/>
          <w:bCs/>
          <w:sz w:val="28"/>
          <w:szCs w:val="36"/>
          <w:lang w:val="en-US" w:eastAsia="zh-CN"/>
        </w:rPr>
      </w:pPr>
    </w:p>
    <w:p>
      <w:pPr>
        <w:pStyle w:val="15"/>
        <w:rPr>
          <w:rFonts w:hint="eastAsia"/>
          <w:b/>
          <w:bCs/>
          <w:sz w:val="28"/>
          <w:szCs w:val="36"/>
          <w:lang w:val="en-US" w:eastAsia="zh-CN"/>
        </w:rPr>
      </w:pPr>
    </w:p>
    <w:p>
      <w:pPr>
        <w:rPr>
          <w:rFonts w:hint="eastAsia"/>
          <w:b/>
          <w:bCs/>
          <w:sz w:val="28"/>
          <w:szCs w:val="36"/>
          <w:lang w:val="en-US" w:eastAsia="zh-CN"/>
        </w:rPr>
      </w:pPr>
    </w:p>
    <w:p>
      <w:pPr>
        <w:pStyle w:val="15"/>
        <w:rPr>
          <w:rFonts w:hint="eastAsia"/>
          <w:b/>
          <w:bCs/>
          <w:sz w:val="28"/>
          <w:szCs w:val="36"/>
          <w:lang w:val="en-US" w:eastAsia="zh-CN"/>
        </w:rPr>
      </w:pPr>
    </w:p>
    <w:p>
      <w:pPr>
        <w:rPr>
          <w:rFonts w:hint="eastAsia"/>
          <w:lang w:val="en-US" w:eastAsia="zh-CN"/>
        </w:rPr>
      </w:pPr>
    </w:p>
    <w:p>
      <w:pPr>
        <w:ind w:left="0" w:firstLineChars="0" w:firstLine="0"/>
        <w:jc w:val="center"/>
        <w:rPr>
          <w:rFonts w:hint="eastAsia"/>
          <w:b/>
          <w:bCs/>
          <w:sz w:val="28"/>
          <w:szCs w:val="36"/>
          <w:lang w:val="en-US" w:eastAsia="zh-CN"/>
        </w:rPr>
      </w:pPr>
    </w:p>
    <w:p>
      <w:pPr>
        <w:ind w:left="0" w:firstLineChars="0" w:firstLine="0"/>
        <w:jc w:val="center"/>
        <w:rPr>
          <w:rFonts w:hint="eastAsia"/>
          <w:b/>
          <w:bCs/>
          <w:sz w:val="28"/>
          <w:szCs w:val="36"/>
        </w:rPr>
      </w:pPr>
      <w:r>
        <w:rPr>
          <w:rFonts w:hint="eastAsia"/>
          <w:b/>
          <w:bCs/>
          <w:sz w:val="28"/>
          <w:szCs w:val="36"/>
        </w:rPr>
        <w:t>（六）其它资料</w:t>
      </w:r>
    </w:p>
    <w:p>
      <w:pPr>
        <w:bidi w:val="0"/>
        <w:rPr>
          <w:rFonts w:hint="eastAsia"/>
        </w:rPr>
      </w:pPr>
    </w:p>
    <w:p>
      <w:pPr>
        <w:keepNext w:val="0"/>
        <w:keepLines w:val="0"/>
        <w:pageBreakBefore w:val="0"/>
        <w:widowControl w:val="0"/>
        <w:kinsoku/>
        <w:wordWrap/>
        <w:overflowPunct/>
        <w:topLinePunct w:val="0"/>
        <w:autoSpaceDE/>
        <w:autoSpaceDN/>
        <w:bidi w:val="0"/>
        <w:adjustRightInd/>
        <w:snapToGrid/>
        <w:ind w:firstLineChars="0" w:firstLine="0"/>
        <w:jc w:val="center"/>
        <w:textAlignment w:val="auto"/>
        <w:rPr>
          <w:rFonts w:hint="eastAsia"/>
          <w:b/>
          <w:bCs/>
        </w:rPr>
      </w:pPr>
      <w:r>
        <w:rPr>
          <w:rFonts w:hint="eastAsia"/>
          <w:b/>
          <w:bCs/>
        </w:rPr>
        <w:t>（格式自拟）</w:t>
      </w:r>
    </w:p>
    <w:p>
      <w:pPr>
        <w:bidi w:val="0"/>
        <w:rPr>
          <w:rFonts w:hint="eastAsia"/>
        </w:rPr>
      </w:pPr>
    </w:p>
    <w:sectPr>
      <w:footerReference w:type="default" r:id="rId6"/>
      <w:footerReference w:type="even" r:id="rId7"/>
      <w:type w:val="nextColumn"/>
      <w:pgSz w:w="11906" w:h="16838"/>
      <w:pgMar w:top="1134" w:right="1134" w:bottom="1134" w:left="1247" w:header="567" w:footer="567"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EFF" w:usb1="C000785B" w:usb2="00000009" w:usb3="00000000" w:csb0="400001FF" w:csb1="FFFF0000"/>
  </w:font>
  <w:font w:name="宋体">
    <w:panose1 w:val="02010600030101010101"/>
    <w:charset w:val="7A"/>
    <w:family w:val="auto"/>
    <w:pitch w:val="variable"/>
    <w:sig w:usb0="000002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Wingdings 2">
    <w:altName w:val="Wingdings"/>
    <w:panose1 w:val="05020102010507070707"/>
    <w:charset w:val="02"/>
    <w:family w:val="auto"/>
    <w:pitch w:val="variable"/>
    <w:sig w:usb0="00000000" w:usb1="00000000" w:usb2="00000000" w:usb3="00000000" w:csb0="80000000" w:csb1="00000000"/>
  </w:font>
  <w:font w:name="黑体">
    <w:panose1 w:val="02010609060101010101"/>
    <w:charset w:val="86"/>
    <w:family w:val="auto"/>
    <w:pitch w:val="variable"/>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仿宋_GB2312">
    <w:altName w:val="仿宋"/>
    <w:panose1 w:val="02010609030101010101"/>
    <w:charset w:val="86"/>
    <w:family w:val="modern"/>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center" w:y="1" w:anchorLock="0"/>
      <w:tabs>
        <w:tab w:val="center" w:pos="4153"/>
        <w:tab w:val="right" w:pos="8306"/>
      </w:tabs>
      <w:rPr>
        <w:rStyle w:val="28"/>
      </w:rPr>
    </w:pPr>
    <w:r>
      <w:rPr>
        <w:rStyle w:val="28"/>
      </w:rPr>
      <w:fldChar w:fldCharType="begin"/>
    </w:r>
    <w:r>
      <w:rPr>
        <w:rStyle w:val="28"/>
      </w:rPr>
      <w:instrText xml:space="preserve">PAGE  </w:instrText>
    </w:r>
    <w:r>
      <w:rPr>
        <w:rStyle w:val="28"/>
      </w:rPr>
      <w:fldChar w:fldCharType="separate"/>
    </w:r>
    <w:r>
      <w:rPr>
        <w:rStyle w:val="28"/>
      </w:rPr>
      <w:t xml:space="preserve"> </w:t>
    </w:r>
    <w:r>
      <w:rPr>
        <w:rStyle w:val="28"/>
      </w:rPr>
      <w:fldChar w:fldCharType="end"/>
    </w: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pPr>
    <w:r>
      <w:rPr>
        <w:sz w:val="18"/>
      </w:rPr>
      <mc:AlternateContent>
        <mc:Choice Requires="wps">
          <w:drawing>
            <wp:anchor distT="0" distB="0" distL="114298" distR="114298" simplePos="0" relativeHeight="11" behindDoc="0" locked="0" layoutInCell="1" hidden="0" allowOverlap="1">
              <wp:simplePos x="0" y="0"/>
              <wp:positionH relativeFrom="margin">
                <wp:align>center</wp:align>
              </wp:positionH>
              <wp:positionV relativeFrom="paragraph">
                <wp:posOffset>0</wp:posOffset>
              </wp:positionV>
              <wp:extent cx="286550" cy="254000"/>
              <wp:effectExtent l="0" t="0" r="0" b="0"/>
              <wp:wrapNone/>
              <wp:docPr id="1" name="文本框 3"/>
              <wp:cNvGraphicFramePr>
                <a:graphicFrameLocks noChangeAspect="0"/>
              </wp:cNvGraphicFramePr>
              <a:graphic>
                <a:graphicData uri="http://schemas.microsoft.com/office/word/2010/wordprocessingShape">
                  <wps:wsp>
                    <wps:cNvSpPr/>
                    <wps:spPr>
                      <a:xfrm rot="0">
                        <a:off x="0" y="0"/>
                        <a:ext cx="286550" cy="254000"/>
                      </a:xfrm>
                      <a:prstGeom prst="rect"/>
                      <a:noFill/>
                      <a:ln w="6350" cmpd="sng" cap="flat">
                        <a:noFill/>
                        <a:prstDash val="solid"/>
                        <a:round/>
                      </a:ln>
                    </wps:spPr>
                    <wps:txbx id="2">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22.563011pt;height:20.00003pt;z-index:11;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ind w:right="360"/>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344500" cy="253999"/>
              <wp:effectExtent l="0" t="0" r="0" b="0"/>
              <wp:wrapNone/>
              <wp:docPr id="4" name="文本框 4"/>
              <wp:cNvGraphicFramePr>
                <a:graphicFrameLocks noChangeAspect="0"/>
              </wp:cNvGraphicFramePr>
              <a:graphic>
                <a:graphicData uri="http://schemas.microsoft.com/office/word/2010/wordprocessingShape">
                  <wps:wsp>
                    <wps:cNvSpPr/>
                    <wps:spPr>
                      <a:xfrm rot="0">
                        <a:off x="0" y="0"/>
                        <a:ext cx="344500" cy="253999"/>
                      </a:xfrm>
                      <a:prstGeom prst="rect"/>
                      <a:noFill/>
                      <a:ln w="6350" cmpd="sng" cap="flat">
                        <a:noFill/>
                        <a:prstDash val="solid"/>
                        <a:round/>
                      </a:ln>
                    </wps:spPr>
                    <wps:txbx id="5">
                      <w:txbxContent>
                        <w:p>
                          <w:pPr>
                            <w:pStyle w:val="21"/>
                            <w:tabs>
                              <w:tab w:val="center" w:pos="4153"/>
                              <w:tab w:val="right" w:pos="8306"/>
                            </w:tabs>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type="#_x0000_t202" id="文本框 4 6" o:spid="_x0000_s6" filled="f" stroked="f" strokeweight="0.5pt" style="position:absolute;margin-left:0.0pt;margin-top:0.0pt;width:27.125998pt;height:19.999996pt;z-index:12;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center" w:y="1" w:anchorLock="0"/>
      <w:tabs>
        <w:tab w:val="center" w:pos="4153"/>
        <w:tab w:val="right" w:pos="8306"/>
      </w:tabs>
      <w:rPr>
        <w:rStyle w:val="28"/>
      </w:rPr>
    </w:pPr>
    <w:r>
      <w:rPr>
        <w:rStyle w:val="28"/>
      </w:rPr>
      <w:fldChar w:fldCharType="begin"/>
    </w:r>
    <w:r>
      <w:rPr>
        <w:rStyle w:val="28"/>
      </w:rPr>
      <w:instrText xml:space="preserve">PAGE  </w:instrText>
    </w:r>
    <w:r>
      <w:rPr>
        <w:rStyle w:val="28"/>
      </w:rPr>
      <w:fldChar w:fldCharType="separate"/>
    </w:r>
    <w:r>
      <w:rPr>
        <w:rStyle w:val="28"/>
      </w:rPr>
      <w:t xml:space="preserve"> </w:t>
    </w:r>
    <w:r>
      <w:rPr>
        <w:rStyle w:val="28"/>
      </w:rPr>
      <w:fldChar w:fldCharType="end"/>
    </w:r>
  </w:p>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2"/>
      <w:tabs>
        <w:tab w:val="center" w:pos="4153"/>
        <w:tab w:val="right" w:pos="8306"/>
      </w:tabs>
      <w:ind w:left="0" w:firstLineChars="0" w:firstLine="0"/>
      <w:rPr>
        <w:b w:val="0"/>
        <w:bCs w:val="0"/>
        <w:i/>
        <w:iCs/>
        <w:lang w:val="en-US"/>
      </w:rPr>
    </w:pPr>
    <w:r>
      <w:rPr>
        <w:rFonts w:hint="eastAsia"/>
        <w:b w:val="0"/>
        <w:bCs w:val="0"/>
        <w:i/>
        <w:iCs/>
        <w:u w:val="single"/>
        <w:lang w:val="en-US" w:eastAsia="zh-CN"/>
      </w:rPr>
      <w:t>黔江海关UPS电池更新及监控扩容升级项目                                                      招标文件</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C157773"/>
    <w:multiLevelType w:val="singleLevel"/>
    <w:tmpl w:val="4C157773"/>
    <w:lvl w:ilvl="0">
      <w:start w:val="1"/>
      <w:numFmt w:val="chineseCounting"/>
      <w:lvlRestart w:val="0"/>
      <w:suff w:val="nothing"/>
      <w:lvlText w:val="%1、"/>
      <w:lvlJc w:val="left"/>
      <w:pPr>
        <w:ind w:left="0" w:hanging="0"/>
      </w:pPr>
      <w:rPr>
        <w:rFonts w:hint="eastAsia"/>
      </w:rPr>
    </w:lvl>
  </w:abstractNum>
  <w:abstractNum w:abstractNumId="1">
    <w:nsid w:val="75E41BB0"/>
    <w:multiLevelType w:val="singleLevel"/>
    <w:tmpl w:val="75E41BB0"/>
    <w:lvl w:ilvl="0">
      <w:start w:val="1"/>
      <w:numFmt w:val="decimal"/>
      <w:lvlRestart w:val="0"/>
      <w:suff w:val="space"/>
      <w:lvlText w:val="%1."/>
      <w:lvlJc w:val="left"/>
      <w:pPr>
        <w:ind w:left="0" w:hanging="0"/>
      </w:pPr>
    </w:lvl>
  </w:abstractNum>
  <w:abstractNum w:abstractNumId="2">
    <w:nsid w:val="F9043070"/>
    <w:multiLevelType w:val="multilevel"/>
    <w:tmpl w:val="F9043070"/>
    <w:lvl w:ilvl="0">
      <w:start w:val="1"/>
      <w:numFmt w:val="upperLetter"/>
      <w:lvlRestart w:val="0"/>
      <w:pStyle w:val="17"/>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pacing w:line="400" w:lineRule="exact"/>
      <w:ind w:firstLineChars="200" w:firstLine="20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Lines="100" w:before="100" w:beforeAutospacing="0" w:afterLines="50" w:after="50" w:afterAutospacing="0" w:line="560" w:lineRule="exact"/>
      <w:ind w:firstLineChars="0" w:firstLine="0"/>
      <w:jc w:val="center"/>
      <w:outlineLvl w:val="0"/>
    </w:pPr>
    <w:rPr>
      <w:rFonts w:eastAsia="黑体"/>
      <w:kern w:val="44"/>
      <w:sz w:val="32"/>
    </w:rPr>
  </w:style>
  <w:style w:type="paragraph" w:styleId="2">
    <w:name w:val="heading 2"/>
    <w:basedOn w:val="0"/>
    <w:next w:val="0"/>
    <w:pPr>
      <w:keepNext/>
      <w:keepLines/>
      <w:widowControl/>
      <w:spacing w:line="360" w:lineRule="auto"/>
      <w:jc w:val="left"/>
      <w:outlineLvl w:val="1"/>
    </w:pPr>
    <w:rPr>
      <w:rFonts w:ascii="Arial" w:eastAsia="黑体" w:hAnsi="Arial"/>
      <w:kern w:val="0"/>
      <w:sz w:val="28"/>
      <w:szCs w:val="20"/>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next w:val="0"/>
    <w:rPr>
      <w:rFonts w:ascii="仿宋_GB2312" w:eastAsia="仿宋_GB2312"/>
      <w:sz w:val="28"/>
    </w:rPr>
  </w:style>
  <w:style w:type="paragraph" w:styleId="16">
    <w:name w:val="Normal Indent"/>
    <w:basedOn w:val="0"/>
    <w:next w:val="0"/>
    <w:pPr>
      <w:ind w:firstLineChars="200" w:firstLine="200"/>
    </w:pPr>
    <w:rPr>
      <w:rFonts w:ascii="Calibri" w:hAnsi="Calibri"/>
      <w:kern w:val="0"/>
      <w:sz w:val="20"/>
      <w:szCs w:val="20"/>
    </w:rPr>
  </w:style>
  <w:style w:type="paragraph" w:styleId="17">
    <w:name w:val="caption"/>
    <w:basedOn w:val="0"/>
    <w:next w:val="0"/>
    <w:pPr>
      <w:numPr>
        <w:ilvl w:val="0"/>
        <w:numId w:val="3"/>
      </w:numPr>
      <w:spacing w:line="480" w:lineRule="exact"/>
      <w:ind w:firstLineChars="0"/>
    </w:pPr>
    <w:rPr>
      <w:rFonts w:ascii="仿宋_GB2312" w:eastAsia="仿宋_GB2312"/>
      <w:sz w:val="30"/>
    </w:rPr>
  </w:style>
  <w:style w:type="paragraph" w:styleId="18">
    <w:name w:val="index 4"/>
    <w:basedOn w:val="0"/>
    <w:next w:val="0"/>
    <w:pPr>
      <w:ind w:left="1260"/>
    </w:pPr>
  </w:style>
  <w:style w:type="paragraph" w:styleId="19">
    <w:name w:val="Plain Text"/>
    <w:basedOn w:val="0"/>
    <w:next w:val="0"/>
    <w:pPr>
      <w:spacing w:line="360" w:lineRule="auto"/>
    </w:pPr>
    <w:rPr>
      <w:rFonts w:ascii="宋体"/>
      <w:szCs w:val="21"/>
    </w:rPr>
  </w:style>
  <w:style w:type="paragraph" w:styleId="20">
    <w:name w:val="Date"/>
    <w:basedOn w:val="0"/>
    <w:next w:val="0"/>
    <w:rPr>
      <w:sz w:val="24"/>
      <w:szCs w:val="20"/>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3">
    <w:name w:val="toc 1"/>
    <w:basedOn w:val="0"/>
    <w:next w:val="0"/>
  </w:style>
  <w:style w:type="paragraph" w:styleId="24">
    <w:name w:val="Subtitle"/>
    <w:basedOn w:val="0"/>
    <w:next w:val="0"/>
    <w:pPr>
      <w:widowControl/>
      <w:jc w:val="center"/>
    </w:pPr>
    <w:rPr>
      <w:kern w:val="0"/>
      <w:sz w:val="24"/>
      <w:szCs w:val="24"/>
      <w:u w:val="single"/>
      <w:lang w:eastAsia="en-US"/>
    </w:rPr>
  </w:style>
  <w:style w:type="paragraph" w:styleId="25">
    <w:name w:val="Body Text 2"/>
    <w:basedOn w:val="0"/>
    <w:next w:val="15"/>
    <w:rPr>
      <w:i/>
      <w:iCs/>
      <w:kern w:val="0"/>
      <w:sz w:val="24"/>
      <w:szCs w:val="24"/>
    </w:rPr>
  </w:style>
  <w:style w:type="paragraph" w:styleId="26">
    <w:name w:val="Normal (Web)"/>
    <w:basedOn w:val="0"/>
    <w:pPr>
      <w:widowControl/>
      <w:spacing w:before="100" w:beforeAutospacing="1" w:after="100" w:afterAutospacing="1"/>
      <w:jc w:val="left"/>
    </w:pPr>
    <w:rPr>
      <w:kern w:val="0"/>
      <w:sz w:val="24"/>
      <w:szCs w:val="24"/>
    </w:rPr>
  </w:style>
  <w:style w:type="character" w:styleId="27">
    <w:name w:val="Strong"/>
    <w:basedOn w:val="10"/>
    <w:rPr>
      <w:b/>
    </w:rPr>
  </w:style>
  <w:style w:type="character" w:styleId="28">
    <w:name w:val="page number"/>
  </w:style>
  <w:style w:type="character" w:styleId="29">
    <w:name w:val="Hyperlink"/>
    <w:rPr>
      <w:color w:val="0000FF"/>
      <w:u w:val="single"/>
    </w:rPr>
  </w:style>
  <w:style w:type="paragraph" w:customStyle="1" w:styleId="30">
    <w:name w:val="表格"/>
    <w:basedOn w:val="0"/>
    <w:pPr>
      <w:spacing w:line="400" w:lineRule="exact"/>
      <w:ind w:firstLineChars="0" w:firstLine="0"/>
    </w:pPr>
    <w:rPr>
      <w:rFonts w:ascii="Times New Roman" w:hAnsi="Times New Roman"/>
    </w:rPr>
  </w:style>
  <w:style w:type="paragraph" w:customStyle="1" w:styleId="31">
    <w:name w:val="批注文字1"/>
    <w:basedOn w:val="0"/>
    <w:pPr>
      <w:adjustRightInd w:val="0"/>
      <w:spacing w:line="360" w:lineRule="atLeast"/>
      <w:jc w:val="left"/>
      <w:textAlignment w:val="baseline"/>
    </w:pPr>
    <w:rPr>
      <w:kern w:val="0"/>
      <w:sz w:val="24"/>
      <w:szCs w:val="20"/>
    </w:rPr>
  </w:style>
  <w:style w:type="paragraph" w:customStyle="1" w:styleId="32">
    <w:name w:val="1"/>
    <w:basedOn w:val="0"/>
    <w:next w:val="19"/>
    <w:rPr>
      <w:rFonts w:ascii="宋体" w:cs="宋体"/>
    </w:rPr>
  </w:style>
  <w:style w:type="paragraph" w:customStyle="1" w:styleId="33">
    <w:name w:val="列出段落1"/>
    <w:basedOn w:val="0"/>
    <w:next w:val="0"/>
    <w:pPr>
      <w:ind w:firstLineChars="200" w:firstLine="200"/>
    </w:pPr>
    <w:rPr>
      <w:rFonts w:ascii="Calibri" w:cs="Calibri" w:hAnsi="Calibri"/>
    </w:rPr>
  </w:style>
  <w:style w:type="paragraph" w:customStyle="1" w:styleId="34">
    <w:name w:val="样式 正文首行缩进 + 首行缩进:  2 字符1 Char Char"/>
    <w:basedOn w:val="0"/>
    <w:pPr>
      <w:adjustRightInd w:val="0"/>
      <w:spacing w:line="400" w:lineRule="exact"/>
      <w:ind w:firstLineChars="200" w:firstLine="200"/>
      <w:textAlignment w:val="baseline"/>
    </w:pPr>
    <w:rPr>
      <w:rFonts w:ascii="宋体" w:eastAsia="仿宋_GB2312" w:cs="宋体" w:hAnsi="宋体"/>
      <w:color w:val="000000"/>
      <w:sz w:val="24"/>
      <w:szCs w:val="20"/>
    </w:rPr>
  </w:style>
  <w:style w:type="paragraph" w:customStyle="1" w:styleId="35">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List Paragraph"/>
    <w:basedOn w:val="0"/>
    <w:pPr>
      <w:ind w:firstLineChars="200" w:firstLine="200"/>
    </w:pPr>
  </w:style>
  <w:style w:type="paragraph" w:styleId="39">
    <w:name w:val="footnote text"/>
    <w:basedOn w:val="0"/>
    <w:pPr>
      <w:snapToGrid w:val="0"/>
      <w:jc w:val="left"/>
    </w:pPr>
    <w:rPr>
      <w:sz w:val="18"/>
      <w:szCs w:val="18"/>
    </w:rPr>
  </w:style>
  <w:style w:type="character" w:styleId="40">
    <w:name w:val="footnote reference"/>
    <w:basedOn w:val="10"/>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77</TotalTime>
  <Application>Yozo_Office</Application>
  <Pages>46</Pages>
  <Words>23255</Words>
  <Characters>25004</Characters>
  <Lines>1600</Lines>
  <Paragraphs>944</Paragraphs>
  <CharactersWithSpaces>25849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209.Qjhg</dc:creator>
  <cp:lastModifiedBy>滕飞</cp:lastModifiedBy>
  <cp:revision>0</cp:revision>
  <dcterms:created xsi:type="dcterms:W3CDTF">2026-04-21T08:59:00Z</dcterms:created>
  <dcterms:modified xsi:type="dcterms:W3CDTF">2026-06-16T01:32:19Z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KSOTemplateDocerSaveRecord">
    <vt:lpwstr>eyJoZGlkIjoiYjUyZmFjNzY2NGQ3ZWYyMzkzMWQ1ZWMyYTJhYjExNDciLCJ1c2VySWQiOiIxNzIyODA0MjE5In0=</vt:lpwstr>
  </property>
  <property fmtid="{D5CDD505-2E9C-101B-9397-08002B2CF9AE}" pid="4" name="ICV">
    <vt:lpwstr>B1C430E3C0D14B24BC34E12FC65E8D82_13</vt:lpwstr>
  </property>
</Properties>
</file>