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center"/>
        <w:rPr>
          <w:rFonts w:eastAsia="华文行楷"/>
          <w:sz w:val="44"/>
        </w:rPr>
      </w:pPr>
      <w:r>
        <w:rPr>
          <w:rFonts w:eastAsia="华文行楷" w:hint="eastAsia"/>
          <w:sz w:val="44"/>
        </w:rPr>
        <w:t xml:space="preserve"> </w:t>
      </w:r>
    </w:p>
    <w:p>
      <w:pPr>
        <w:spacing w:line="560" w:lineRule="exact"/>
        <w:jc w:val="center"/>
        <w:rPr>
          <w:rFonts w:eastAsia="黑体"/>
          <w:b/>
          <w:sz w:val="36"/>
          <w:szCs w:val="36"/>
        </w:rPr>
      </w:pPr>
      <w:r>
        <w:rPr>
          <w:rFonts w:eastAsia="黑体" w:hint="eastAsia"/>
          <w:b/>
          <w:sz w:val="36"/>
          <w:szCs w:val="36"/>
        </w:rPr>
        <w:t xml:space="preserve"> 重庆国际旅行卫生保健中心2026年职业病体检信息管理系统采购项目</w:t>
      </w:r>
    </w:p>
    <w:p>
      <w:pPr>
        <w:spacing w:line="560" w:lineRule="exact"/>
        <w:jc w:val="center"/>
        <w:rPr>
          <w:rFonts w:eastAsia="黑体"/>
          <w:b/>
          <w:sz w:val="36"/>
          <w:szCs w:val="36"/>
        </w:rPr>
      </w:pPr>
    </w:p>
    <w:p>
      <w:pPr>
        <w:pStyle w:val="3"/>
        <w:spacing w:line="560" w:lineRule="exact"/>
        <w:rPr>
          <w:rFonts w:eastAsia="黑体"/>
          <w:sz w:val="36"/>
          <w:szCs w:val="36"/>
        </w:rPr>
      </w:pPr>
    </w:p>
    <w:p>
      <w:pPr>
        <w:spacing w:line="560" w:lineRule="exact"/>
        <w:rPr>
          <w:rFonts w:eastAsia="黑体"/>
          <w:sz w:val="36"/>
          <w:szCs w:val="36"/>
        </w:rPr>
      </w:pPr>
    </w:p>
    <w:p>
      <w:pPr>
        <w:pStyle w:val="3"/>
        <w:spacing w:line="560" w:lineRule="exact"/>
        <w:rPr>
          <w:rFonts w:eastAsia="黑体"/>
          <w:sz w:val="36"/>
          <w:szCs w:val="36"/>
        </w:rPr>
      </w:pPr>
    </w:p>
    <w:p>
      <w:pPr>
        <w:spacing w:line="560" w:lineRule="exact"/>
      </w:pPr>
    </w:p>
    <w:p>
      <w:pPr>
        <w:spacing w:line="560" w:lineRule="exact"/>
      </w:pPr>
    </w:p>
    <w:p>
      <w:pPr>
        <w:spacing w:line="560" w:lineRule="exact"/>
        <w:rPr>
          <w:sz w:val="32"/>
        </w:rPr>
      </w:pPr>
    </w:p>
    <w:p>
      <w:pPr>
        <w:spacing w:line="560" w:lineRule="exact"/>
        <w:jc w:val="center"/>
        <w:rPr>
          <w:rFonts w:ascii="宋体"/>
          <w:b/>
          <w:sz w:val="48"/>
          <w:szCs w:val="18"/>
        </w:rPr>
      </w:pPr>
      <w:r>
        <w:rPr>
          <w:rFonts w:ascii="宋体" w:hint="eastAsia"/>
          <w:b/>
          <w:sz w:val="48"/>
          <w:szCs w:val="18"/>
        </w:rPr>
        <w:t>比选文件</w:t>
      </w:r>
    </w:p>
    <w:p>
      <w:pPr>
        <w:spacing w:line="560" w:lineRule="exact"/>
        <w:jc w:val="center"/>
        <w:rPr>
          <w:sz w:val="30"/>
        </w:rPr>
      </w:pPr>
    </w:p>
    <w:p>
      <w:pPr>
        <w:spacing w:line="560" w:lineRule="exact"/>
        <w:rPr>
          <w:sz w:val="30"/>
        </w:rPr>
      </w:pPr>
    </w:p>
    <w:p>
      <w:pPr>
        <w:pStyle w:val="3"/>
        <w:spacing w:line="560" w:lineRule="exact"/>
      </w:pPr>
    </w:p>
    <w:p>
      <w:pPr>
        <w:spacing w:line="560" w:lineRule="exact"/>
      </w:pPr>
    </w:p>
    <w:p>
      <w:pPr>
        <w:spacing w:line="560" w:lineRule="exact"/>
        <w:rPr>
          <w:sz w:val="30"/>
        </w:rPr>
      </w:pPr>
    </w:p>
    <w:p>
      <w:pPr>
        <w:spacing w:line="560" w:lineRule="exact"/>
        <w:jc w:val="center"/>
        <w:rPr>
          <w:rFonts w:ascii="宋体"/>
          <w:b/>
          <w:sz w:val="30"/>
        </w:rPr>
      </w:pPr>
      <w:r>
        <w:rPr>
          <w:rFonts w:ascii="宋体" w:hint="eastAsia"/>
          <w:b/>
          <w:sz w:val="30"/>
        </w:rPr>
        <w:t>采购人：重庆国际旅行卫生保健中心</w:t>
      </w:r>
    </w:p>
    <w:p>
      <w:pPr>
        <w:pStyle w:val="47"/>
        <w:spacing w:line="560" w:lineRule="exact"/>
      </w:pPr>
      <w:r>
        <w:rPr>
          <w:rFonts w:ascii="宋体" w:hint="eastAsia"/>
          <w:b/>
          <w:sz w:val="30"/>
        </w:rPr>
        <w:t xml:space="preserve">                 </w:t>
      </w:r>
      <w:r>
        <w:rPr>
          <w:rFonts w:ascii="宋体" w:hint="eastAsia"/>
          <w:b/>
          <w:color w:val="auto"/>
          <w:kern w:val="2"/>
          <w:sz w:val="30"/>
        </w:rPr>
        <w:t xml:space="preserve">     （重庆海关口岸门诊部）</w:t>
      </w:r>
    </w:p>
    <w:p>
      <w:pPr>
        <w:spacing w:line="560" w:lineRule="exact"/>
        <w:rPr>
          <w:rFonts w:ascii="宋体"/>
          <w:b/>
          <w:sz w:val="30"/>
          <w:u w:val="single"/>
        </w:rPr>
      </w:pPr>
    </w:p>
    <w:p>
      <w:pPr>
        <w:spacing w:line="560" w:lineRule="exact"/>
        <w:rPr>
          <w:rFonts w:ascii="宋体"/>
          <w:b/>
          <w:sz w:val="30"/>
          <w:u w:val="single"/>
        </w:rPr>
      </w:pPr>
    </w:p>
    <w:p>
      <w:pPr>
        <w:spacing w:line="560" w:lineRule="exact"/>
        <w:ind w:firstLineChars="1170" w:firstLine="3510"/>
        <w:rPr>
          <w:rFonts w:ascii="宋体"/>
          <w:sz w:val="32"/>
        </w:rPr>
      </w:pPr>
      <w:r>
        <w:rPr>
          <w:rFonts w:ascii="宋体" w:hint="eastAsia"/>
          <w:b/>
          <w:sz w:val="30"/>
        </w:rPr>
        <w:t>二○二六年七月</w:t>
      </w:r>
    </w:p>
    <w:p>
      <w:pPr>
        <w:spacing w:line="560" w:lineRule="exact"/>
        <w:ind w:firstLine="1260"/>
        <w:rPr>
          <w:rFonts w:ascii="宋体"/>
        </w:rPr>
      </w:pPr>
    </w:p>
    <w:p>
      <w:pPr>
        <w:spacing w:line="560" w:lineRule="exact"/>
        <w:ind w:firstLine="1260"/>
        <w:rPr>
          <w:rFonts w:ascii="宋体"/>
        </w:rPr>
      </w:pPr>
    </w:p>
    <w:p>
      <w:pPr>
        <w:spacing w:line="560" w:lineRule="exact"/>
        <w:ind w:firstLine="1260"/>
        <w:jc w:val="center"/>
        <w:rPr>
          <w:rFonts w:ascii="宋体"/>
          <w:b/>
          <w:bCs/>
          <w:sz w:val="44"/>
        </w:rPr>
      </w:pPr>
    </w:p>
    <w:p>
      <w:pPr>
        <w:spacing w:line="560" w:lineRule="exact"/>
        <w:jc w:val="center"/>
        <w:rPr>
          <w:rFonts w:ascii="黑体" w:eastAsia="黑体"/>
          <w:sz w:val="40"/>
        </w:rPr>
      </w:pPr>
      <w:r>
        <w:rPr>
          <w:rFonts w:ascii="黑体" w:eastAsia="黑体" w:hint="eastAsia"/>
          <w:sz w:val="40"/>
        </w:rPr>
        <w:t>目录</w:t>
      </w:r>
    </w:p>
    <w:p>
      <w:pPr>
        <w:spacing w:line="560" w:lineRule="exact"/>
        <w:jc w:val="center"/>
        <w:rPr>
          <w:rFonts w:ascii="黑体" w:eastAsia="黑体"/>
          <w:sz w:val="40"/>
        </w:rPr>
      </w:pPr>
    </w:p>
    <w:p>
      <w:pPr>
        <w:spacing w:line="560" w:lineRule="exact"/>
        <w:jc w:val="center"/>
        <w:rPr>
          <w:rFonts w:ascii="黑体" w:eastAsia="黑体"/>
          <w:sz w:val="40"/>
        </w:rPr>
      </w:pPr>
    </w:p>
    <w:p>
      <w:pPr>
        <w:pStyle w:val="29"/>
        <w:tabs>
          <w:tab w:val="right" w:leader="dot" w:pos="9118"/>
        </w:tabs>
        <w:spacing w:line="560" w:lineRule="exact"/>
        <w:rPr>
          <w:rFonts w:ascii="宋体" w:eastAsia="宋体" w:cs="Arial"/>
          <w:sz w:val="30"/>
          <w:szCs w:val="30"/>
        </w:rPr>
      </w:pPr>
      <w:r>
        <w:rPr>
          <w:rFonts w:ascii="宋体" w:eastAsia="宋体"/>
          <w:sz w:val="30"/>
          <w:szCs w:val="30"/>
        </w:rPr>
        <w:fldChar w:fldCharType="begin"/>
      </w:r>
      <w:r>
        <w:rPr>
          <w:rFonts w:ascii="宋体" w:eastAsia="宋体"/>
          <w:sz w:val="30"/>
          <w:szCs w:val="30"/>
        </w:rPr>
        <w:instrText xml:space="preserve"> TOC \o "1-1" \h \z \u </w:instrText>
      </w:r>
      <w:r>
        <w:rPr>
          <w:rFonts w:ascii="宋体" w:eastAsia="宋体"/>
          <w:sz w:val="30"/>
          <w:szCs w:val="30"/>
        </w:rPr>
        <w:fldChar w:fldCharType="separate"/>
      </w:r>
      <w:r>
        <w:fldChar w:fldCharType="begin"/>
      </w:r>
      <w:r>
        <w:instrText xml:space="preserve"> HYPERLINK \l "_Toc506278871" </w:instrText>
      </w:r>
      <w:r>
        <w:fldChar w:fldCharType="separate"/>
      </w:r>
      <w:r>
        <w:rPr>
          <w:rFonts w:ascii="宋体" w:eastAsia="宋体" w:hint="eastAsia"/>
          <w:b/>
          <w:sz w:val="30"/>
          <w:szCs w:val="30"/>
        </w:rPr>
        <w:t>第一章比选公告</w:t>
      </w:r>
      <w:r>
        <w:rPr>
          <w:rFonts w:ascii="宋体" w:eastAsia="宋体"/>
          <w:sz w:val="30"/>
          <w:szCs w:val="30"/>
        </w:rPr>
        <w:tab/>
      </w:r>
      <w:r>
        <w:rPr>
          <w:rFonts w:ascii="宋体" w:eastAsia="宋体"/>
          <w:sz w:val="30"/>
          <w:szCs w:val="30"/>
        </w:rPr>
        <w:fldChar w:fldCharType="begin"/>
      </w:r>
      <w:r>
        <w:rPr>
          <w:rFonts w:ascii="宋体" w:eastAsia="宋体"/>
          <w:sz w:val="30"/>
          <w:szCs w:val="30"/>
        </w:rPr>
        <w:instrText xml:space="preserve"> PAGEREF _Toc506278871 \h </w:instrText>
      </w:r>
      <w:r>
        <w:rPr>
          <w:rFonts w:ascii="宋体" w:eastAsia="宋体"/>
          <w:sz w:val="30"/>
          <w:szCs w:val="30"/>
        </w:rPr>
        <w:fldChar w:fldCharType="separate"/>
      </w:r>
      <w:r>
        <w:rPr>
          <w:rFonts w:ascii="宋体" w:eastAsia="宋体"/>
          <w:sz w:val="30"/>
          <w:szCs w:val="30"/>
        </w:rPr>
        <w:t>2</w:t>
      </w:r>
      <w:r>
        <w:rPr>
          <w:rFonts w:ascii="宋体" w:eastAsia="宋体"/>
          <w:sz w:val="30"/>
          <w:szCs w:val="30"/>
        </w:rPr>
        <w:fldChar w:fldCharType="end"/>
      </w:r>
      <w:r>
        <w:rPr>
          <w:rFonts w:ascii="宋体" w:eastAsia="宋体"/>
          <w:sz w:val="30"/>
          <w:szCs w:val="30"/>
        </w:rPr>
        <w:fldChar w:fldCharType="end"/>
      </w:r>
    </w:p>
    <w:p>
      <w:pPr>
        <w:pStyle w:val="29"/>
        <w:tabs>
          <w:tab w:val="right" w:leader="dot" w:pos="9118"/>
        </w:tabs>
        <w:spacing w:line="560" w:lineRule="exact"/>
        <w:rPr>
          <w:rFonts w:ascii="宋体" w:eastAsia="宋体" w:cs="Arial"/>
          <w:sz w:val="30"/>
          <w:szCs w:val="30"/>
        </w:rPr>
      </w:pPr>
      <w:r>
        <w:fldChar w:fldCharType="begin"/>
      </w:r>
      <w:r>
        <w:instrText xml:space="preserve"> HYPERLINK \l "_Toc506278872" </w:instrText>
      </w:r>
      <w:r>
        <w:fldChar w:fldCharType="separate"/>
      </w:r>
      <w:r>
        <w:rPr>
          <w:rFonts w:ascii="宋体" w:eastAsia="宋体" w:hint="eastAsia"/>
          <w:b/>
          <w:sz w:val="30"/>
          <w:szCs w:val="30"/>
        </w:rPr>
        <w:t>第二章供应商须知</w:t>
      </w:r>
      <w:r>
        <w:rPr>
          <w:rFonts w:ascii="宋体" w:eastAsia="宋体"/>
          <w:sz w:val="30"/>
          <w:szCs w:val="30"/>
        </w:rPr>
        <w:tab/>
      </w:r>
      <w:r>
        <w:rPr>
          <w:rFonts w:ascii="宋体" w:eastAsia="宋体" w:hint="eastAsia"/>
          <w:sz w:val="30"/>
          <w:szCs w:val="30"/>
          <w:lang w:val="en-US" w:eastAsia="zh-CN"/>
        </w:rPr>
        <w:t>4</w:t>
      </w:r>
      <w:r>
        <w:rPr>
          <w:rFonts w:ascii="宋体" w:eastAsia="宋体"/>
          <w:sz w:val="30"/>
          <w:szCs w:val="30"/>
        </w:rPr>
        <w:fldChar w:fldCharType="end"/>
      </w:r>
    </w:p>
    <w:p>
      <w:pPr>
        <w:pStyle w:val="29"/>
        <w:tabs>
          <w:tab w:val="right" w:leader="dot" w:pos="9118"/>
        </w:tabs>
        <w:spacing w:line="560" w:lineRule="exact"/>
        <w:rPr>
          <w:rFonts w:ascii="宋体" w:eastAsia="宋体" w:cs="Arial" w:hint="eastAsia"/>
          <w:sz w:val="30"/>
          <w:szCs w:val="30"/>
          <w:lang w:val="en-US" w:eastAsia="zh-CN"/>
        </w:rPr>
      </w:pPr>
      <w:r>
        <w:fldChar w:fldCharType="begin"/>
      </w:r>
      <w:r>
        <w:instrText xml:space="preserve"> HYPERLINK \l "_Toc506278873" </w:instrText>
      </w:r>
      <w:r>
        <w:fldChar w:fldCharType="separate"/>
      </w:r>
      <w:r>
        <w:rPr>
          <w:rFonts w:ascii="宋体" w:eastAsia="宋体" w:hint="eastAsia"/>
          <w:b/>
          <w:sz w:val="30"/>
          <w:szCs w:val="30"/>
        </w:rPr>
        <w:t>第三章比选方法</w:t>
      </w:r>
      <w:r>
        <w:rPr>
          <w:rFonts w:ascii="宋体" w:eastAsia="宋体"/>
          <w:sz w:val="30"/>
          <w:szCs w:val="30"/>
        </w:rPr>
        <w:tab/>
      </w:r>
      <w:r>
        <w:rPr>
          <w:rFonts w:ascii="宋体" w:eastAsia="宋体" w:hint="eastAsia"/>
          <w:sz w:val="30"/>
          <w:szCs w:val="30"/>
        </w:rPr>
        <w:t>1</w:t>
      </w:r>
      <w:r>
        <w:rPr>
          <w:rFonts w:ascii="宋体" w:eastAsia="宋体" w:hint="eastAsia"/>
          <w:sz w:val="30"/>
          <w:szCs w:val="30"/>
        </w:rPr>
        <w:fldChar w:fldCharType="end"/>
      </w:r>
      <w:r>
        <w:rPr>
          <w:rFonts w:ascii="宋体" w:eastAsia="宋体" w:hint="eastAsia"/>
          <w:sz w:val="30"/>
          <w:szCs w:val="30"/>
          <w:lang w:val="en-US" w:eastAsia="zh-CN"/>
        </w:rPr>
        <w:t>3</w:t>
      </w:r>
    </w:p>
    <w:p>
      <w:pPr>
        <w:pStyle w:val="29"/>
        <w:tabs>
          <w:tab w:val="right" w:leader="dot" w:pos="9118"/>
        </w:tabs>
        <w:spacing w:line="560" w:lineRule="exact"/>
        <w:rPr>
          <w:rFonts w:ascii="宋体" w:eastAsia="宋体" w:cs="Arial"/>
          <w:sz w:val="30"/>
          <w:szCs w:val="30"/>
          <w:lang w:val="en-US" w:eastAsia="zh-CN"/>
        </w:rPr>
      </w:pPr>
      <w:r>
        <w:fldChar w:fldCharType="begin"/>
      </w:r>
      <w:r>
        <w:instrText xml:space="preserve"> HYPERLINK \l "_Toc506278874" </w:instrText>
      </w:r>
      <w:r>
        <w:fldChar w:fldCharType="separate"/>
      </w:r>
      <w:r>
        <w:rPr>
          <w:rFonts w:ascii="宋体" w:eastAsia="宋体" w:hint="eastAsia"/>
          <w:b/>
          <w:sz w:val="30"/>
          <w:szCs w:val="30"/>
        </w:rPr>
        <w:t>第四章合同条款（样本）</w:t>
      </w:r>
      <w:r>
        <w:rPr>
          <w:rFonts w:ascii="宋体" w:eastAsia="宋体"/>
          <w:sz w:val="30"/>
          <w:szCs w:val="30"/>
        </w:rPr>
        <w:tab/>
      </w:r>
      <w:r>
        <w:rPr>
          <w:rFonts w:ascii="宋体" w:eastAsia="宋体" w:hint="eastAsia"/>
          <w:sz w:val="30"/>
          <w:szCs w:val="30"/>
        </w:rPr>
        <w:fldChar w:fldCharType="end"/>
      </w:r>
      <w:r>
        <w:rPr>
          <w:rFonts w:ascii="宋体" w:eastAsia="宋体"/>
          <w:sz w:val="30"/>
          <w:szCs w:val="30"/>
          <w:lang w:val="en-US" w:eastAsia="zh-CN"/>
        </w:rPr>
        <w:t>20</w:t>
      </w:r>
    </w:p>
    <w:p>
      <w:pPr>
        <w:pStyle w:val="29"/>
        <w:tabs>
          <w:tab w:val="right" w:leader="dot" w:pos="9118"/>
        </w:tabs>
        <w:spacing w:line="560" w:lineRule="exact"/>
        <w:rPr>
          <w:rFonts w:ascii="宋体" w:eastAsia="宋体" w:cs="Arial"/>
          <w:sz w:val="30"/>
          <w:szCs w:val="30"/>
        </w:rPr>
      </w:pPr>
      <w:r>
        <w:fldChar w:fldCharType="begin"/>
      </w:r>
      <w:r>
        <w:instrText xml:space="preserve"> HYPERLINK \l "_Toc506278875" </w:instrText>
      </w:r>
      <w:r>
        <w:fldChar w:fldCharType="separate"/>
      </w:r>
      <w:r>
        <w:rPr>
          <w:rFonts w:ascii="宋体" w:eastAsia="宋体" w:hint="eastAsia"/>
          <w:b/>
          <w:sz w:val="30"/>
          <w:szCs w:val="30"/>
        </w:rPr>
        <w:t>第五章项目服务需求</w:t>
      </w:r>
      <w:r>
        <w:rPr>
          <w:rFonts w:ascii="宋体" w:eastAsia="宋体"/>
          <w:sz w:val="30"/>
          <w:szCs w:val="30"/>
        </w:rPr>
        <w:tab/>
      </w:r>
      <w:r>
        <w:rPr>
          <w:rFonts w:ascii="宋体" w:eastAsia="宋体" w:hint="eastAsia"/>
          <w:sz w:val="30"/>
          <w:szCs w:val="30"/>
        </w:rPr>
        <w:t>2</w:t>
      </w:r>
      <w:r>
        <w:rPr>
          <w:rFonts w:ascii="宋体" w:eastAsia="宋体" w:hint="eastAsia"/>
          <w:sz w:val="30"/>
          <w:szCs w:val="30"/>
        </w:rPr>
        <w:fldChar w:fldCharType="end"/>
      </w:r>
      <w:r>
        <w:rPr>
          <w:rFonts w:ascii="宋体" w:eastAsia="宋体" w:hint="eastAsia"/>
          <w:sz w:val="30"/>
          <w:szCs w:val="30"/>
        </w:rPr>
        <w:t>5</w:t>
      </w:r>
    </w:p>
    <w:p>
      <w:pPr>
        <w:pStyle w:val="29"/>
        <w:tabs>
          <w:tab w:val="right" w:leader="dot" w:pos="9118"/>
        </w:tabs>
        <w:spacing w:line="560" w:lineRule="exact"/>
        <w:rPr>
          <w:rFonts w:ascii="宋体" w:eastAsia="宋体" w:cs="Arial" w:hint="eastAsia"/>
          <w:sz w:val="30"/>
          <w:szCs w:val="30"/>
          <w:lang w:eastAsia="zh-CN"/>
        </w:rPr>
      </w:pPr>
      <w:r>
        <w:fldChar w:fldCharType="begin"/>
      </w:r>
      <w:r>
        <w:instrText xml:space="preserve"> HYPERLINK \l "_Toc506278877" </w:instrText>
      </w:r>
      <w:r>
        <w:fldChar w:fldCharType="separate"/>
      </w:r>
      <w:r>
        <w:rPr>
          <w:rFonts w:ascii="宋体" w:eastAsia="宋体" w:hint="eastAsia"/>
          <w:b/>
          <w:sz w:val="30"/>
          <w:szCs w:val="30"/>
        </w:rPr>
        <w:t>第六章</w:t>
      </w:r>
      <w:r>
        <w:rPr>
          <w:rStyle w:val="44"/>
          <w:rFonts w:ascii="宋体" w:eastAsia="宋体" w:hint="eastAsia"/>
          <w:b/>
          <w:sz w:val="30"/>
          <w:szCs w:val="30"/>
        </w:rPr>
        <w:fldChar w:fldCharType="end"/>
      </w:r>
      <w:r>
        <w:rPr>
          <w:rFonts w:ascii="宋体" w:eastAsia="宋体"/>
          <w:sz w:val="30"/>
          <w:szCs w:val="30"/>
        </w:rPr>
        <w:fldChar w:fldCharType="end"/>
      </w:r>
      <w:r>
        <w:rPr>
          <w:rStyle w:val="44"/>
          <w:rFonts w:ascii="宋体" w:eastAsia="宋体" w:hint="eastAsia"/>
          <w:b/>
          <w:color w:val="000000"/>
          <w:sz w:val="30"/>
          <w:szCs w:val="30"/>
          <w:u w:val="none"/>
          <w14:textFill>
            <w14:solidFill>
              <w14:srgbClr w14:val="000000"/>
            </w14:solidFill>
          </w14:textFill>
        </w:rPr>
        <w:fldChar w:fldCharType="begin"/>
      </w:r>
      <w:r>
        <w:instrText>HYPERLINK  \l "_Toc506278877"</w:instrText>
      </w:r>
      <w:r>
        <w:rPr>
          <w:rStyle w:val="44"/>
          <w:rFonts w:ascii="宋体" w:eastAsia="宋体" w:hint="eastAsia"/>
          <w:b/>
          <w:color w:val="000000"/>
          <w:sz w:val="30"/>
          <w:szCs w:val="30"/>
          <w:u w:val="none"/>
          <w14:textFill>
            <w14:solidFill>
              <w14:srgbClr w14:val="000000"/>
            </w14:solidFill>
          </w14:textFill>
        </w:rPr>
        <w:fldChar w:fldCharType="separate"/>
      </w:r>
      <w:r>
        <w:rPr>
          <w:rStyle w:val="44"/>
          <w:rFonts w:ascii="宋体" w:eastAsia="宋体" w:hint="eastAsia"/>
          <w:b/>
          <w:color w:val="000000"/>
          <w:sz w:val="30"/>
          <w:szCs w:val="30"/>
          <w:u w:val="none"/>
          <w14:textFill>
            <w14:solidFill>
              <w14:srgbClr w14:val="000000"/>
            </w14:solidFill>
          </w14:textFill>
        </w:rPr>
        <w:t>响应文件格式</w:t>
      </w:r>
      <w:r>
        <w:rPr>
          <w:rFonts w:ascii="宋体" w:eastAsia="宋体"/>
          <w:color w:val="000000"/>
          <w:sz w:val="30"/>
          <w:szCs w:val="30"/>
          <w14:textFill>
            <w14:solidFill>
              <w14:srgbClr w14:val="000000"/>
            </w14:solidFill>
          </w14:textFill>
        </w:rPr>
        <w:tab/>
      </w:r>
      <w:r>
        <w:rPr>
          <w:rFonts w:ascii="宋体" w:eastAsia="宋体" w:hint="eastAsia"/>
          <w:color w:val="000000"/>
          <w:sz w:val="30"/>
          <w:szCs w:val="30"/>
          <w14:textFill>
            <w14:solidFill>
              <w14:srgbClr w14:val="000000"/>
            </w14:solidFill>
          </w14:textFill>
        </w:rPr>
        <w:t>3</w:t>
      </w:r>
      <w:r>
        <w:rPr>
          <w:rStyle w:val="44"/>
          <w:rFonts w:ascii="宋体" w:eastAsia="宋体" w:hint="eastAsia"/>
          <w:b/>
          <w:color w:val="000000"/>
          <w:sz w:val="30"/>
          <w:szCs w:val="30"/>
          <w:u w:val="none"/>
          <w14:textFill>
            <w14:solidFill>
              <w14:srgbClr w14:val="000000"/>
            </w14:solidFill>
          </w14:textFill>
        </w:rPr>
        <w:fldChar w:fldCharType="end"/>
      </w:r>
      <w:r>
        <w:rPr>
          <w:rFonts w:ascii="宋体" w:eastAsia="宋体" w:hint="eastAsia"/>
          <w:color w:val="000000"/>
          <w:sz w:val="30"/>
          <w:szCs w:val="30"/>
          <w14:textFill>
            <w14:solidFill>
              <w14:srgbClr w14:val="000000"/>
            </w14:solidFill>
          </w14:textFill>
          <w:lang w:val="en-US" w:eastAsia="zh-CN"/>
        </w:rPr>
        <w:t>8</w:t>
      </w:r>
    </w:p>
    <w:p>
      <w:pPr>
        <w:spacing w:line="560" w:lineRule="exact"/>
        <w:rPr>
          <w:rFonts w:ascii="宋体" w:eastAsia="宋体"/>
          <w:sz w:val="30"/>
          <w:szCs w:val="30"/>
        </w:rPr>
      </w:pPr>
    </w:p>
    <w:p>
      <w:pPr>
        <w:spacing w:line="560" w:lineRule="exact"/>
        <w:ind w:left="1080"/>
        <w:rPr>
          <w:rFonts w:ascii="仿宋_GB2312" w:eastAsia="仿宋_GB2312"/>
          <w:sz w:val="28"/>
        </w:rPr>
      </w:pPr>
    </w:p>
    <w:p>
      <w:pPr>
        <w:spacing w:line="560" w:lineRule="exact"/>
        <w:jc w:val="center"/>
        <w:rPr>
          <w:rFonts w:ascii="黑体" w:eastAsia="黑体"/>
          <w:sz w:val="24"/>
        </w:rPr>
      </w:pPr>
    </w:p>
    <w:p>
      <w:pPr>
        <w:spacing w:line="560" w:lineRule="exact"/>
        <w:jc w:val="center"/>
        <w:rPr>
          <w:rFonts w:ascii="黑体" w:eastAsia="黑体"/>
          <w:sz w:val="24"/>
        </w:rPr>
      </w:pPr>
    </w:p>
    <w:p>
      <w:pPr>
        <w:spacing w:line="560" w:lineRule="exact"/>
        <w:jc w:val="center"/>
        <w:rPr>
          <w:rFonts w:ascii="黑体" w:eastAsia="黑体"/>
          <w:sz w:val="24"/>
        </w:rPr>
      </w:pPr>
    </w:p>
    <w:p>
      <w:pPr>
        <w:spacing w:line="560" w:lineRule="exact"/>
        <w:jc w:val="center"/>
        <w:rPr>
          <w:rFonts w:ascii="黑体" w:eastAsia="黑体"/>
          <w:sz w:val="24"/>
        </w:rPr>
      </w:pPr>
    </w:p>
    <w:p>
      <w:pPr>
        <w:spacing w:line="560" w:lineRule="exact"/>
        <w:jc w:val="center"/>
        <w:rPr>
          <w:rFonts w:ascii="黑体" w:eastAsia="黑体"/>
          <w:sz w:val="24"/>
        </w:rPr>
      </w:pPr>
    </w:p>
    <w:p>
      <w:pPr>
        <w:spacing w:line="560" w:lineRule="exact"/>
        <w:jc w:val="center"/>
        <w:rPr>
          <w:rFonts w:ascii="黑体" w:eastAsia="黑体"/>
          <w:sz w:val="24"/>
        </w:rPr>
      </w:pPr>
    </w:p>
    <w:p>
      <w:pPr>
        <w:spacing w:line="560" w:lineRule="exact"/>
        <w:rPr>
          <w:rFonts w:ascii="黑体" w:eastAsia="黑体"/>
          <w:sz w:val="24"/>
        </w:rPr>
        <w:sectPr>
          <w:headerReference w:type="first" r:id="rId2"/>
          <w:footerReference w:type="default" r:id="rId3"/>
          <w:footerReference w:type="even" r:id="rId4"/>
          <w:type w:val="nextColumn"/>
          <w:pgSz w:w="11906" w:h="16838"/>
          <w:pgMar w:top="1247" w:right="1247" w:bottom="1247" w:left="1531" w:header="851" w:footer="992" w:gutter="0"/>
          <w:pgNumType w:start="0"/>
          <w:titlePg/>
          <w:docGrid w:type="lines" w:linePitch="312" w:charSpace="0"/>
        </w:sectPr>
      </w:pPr>
    </w:p>
    <w:p>
      <w:pPr>
        <w:pStyle w:val="1"/>
        <w:tabs>
          <w:tab w:val="left" w:pos="432"/>
        </w:tabs>
        <w:spacing w:line="560" w:lineRule="exact"/>
        <w:rPr>
          <w:rFonts w:ascii="方正小标宋_GBK" w:eastAsia="方正小标宋_GBK" w:cs="方正小标宋_GBK"/>
          <w:bCs/>
          <w:sz w:val="44"/>
        </w:rPr>
      </w:pPr>
      <w:bookmarkStart w:id="0" w:name="_Toc505867272"/>
      <w:bookmarkStart w:id="1" w:name="_Toc506278871"/>
      <w:r>
        <w:rPr>
          <w:rFonts w:ascii="方正小标宋_GBK" w:eastAsia="方正小标宋_GBK" w:cs="方正小标宋_GBK" w:hint="eastAsia"/>
          <w:bCs/>
          <w:sz w:val="44"/>
        </w:rPr>
        <w:t>第一章</w:t>
      </w:r>
      <w:bookmarkEnd w:id="0"/>
      <w:r>
        <w:rPr>
          <w:rFonts w:ascii="方正小标宋_GBK" w:eastAsia="方正小标宋_GBK" w:cs="方正小标宋_GBK" w:hint="eastAsia"/>
          <w:bCs/>
          <w:sz w:val="44"/>
        </w:rPr>
        <w:t xml:space="preserve">  比选</w:t>
      </w:r>
      <w:bookmarkEnd w:id="1"/>
      <w:r>
        <w:rPr>
          <w:rFonts w:ascii="方正小标宋_GBK" w:eastAsia="方正小标宋_GBK" w:cs="方正小标宋_GBK" w:hint="eastAsia"/>
          <w:bCs/>
          <w:sz w:val="44"/>
        </w:rPr>
        <w:t>公告</w:t>
      </w:r>
    </w:p>
    <w:p>
      <w:pPr>
        <w:spacing w:line="560" w:lineRule="exact"/>
        <w:rPr>
          <w:color w:val="000000"/>
          <w:sz w:val="30"/>
          <w:szCs w:val="30"/>
        </w:rPr>
      </w:pPr>
      <w:r>
        <w:rPr>
          <w:rFonts w:ascii="宋体" w:cs="宋体"/>
          <w:b/>
          <w:color w:val="000000"/>
          <w:kern w:val="0"/>
          <w:sz w:val="24"/>
        </w:rPr>
        <w:tab/>
      </w:r>
    </w:p>
    <w:p>
      <w:pPr>
        <w:spacing w:line="520" w:lineRule="exact"/>
        <w:ind w:firstLineChars="233" w:firstLine="559"/>
        <w:jc w:val="left"/>
        <w:rPr>
          <w:rFonts w:ascii="方正仿宋_GBK" w:eastAsia="方正仿宋_GBK" w:cs="方正仿宋_GBK"/>
          <w:b/>
          <w:bCs/>
          <w:color w:val="000000"/>
          <w:sz w:val="24"/>
        </w:rPr>
      </w:pPr>
      <w:r>
        <w:rPr>
          <w:rFonts w:ascii="方正仿宋_GBK" w:eastAsia="方正仿宋_GBK" w:cs="方正仿宋_GBK" w:hint="eastAsia"/>
          <w:sz w:val="24"/>
        </w:rPr>
        <w:t>重庆国际旅行卫生保健中心（重庆海关口岸门诊部）对</w:t>
      </w:r>
      <w:r>
        <w:rPr>
          <w:rFonts w:ascii="方正仿宋_GBK" w:eastAsia="方正仿宋_GBK" w:cs="方正仿宋_GBK" w:hint="eastAsia"/>
          <w:color w:val="000000"/>
          <w:sz w:val="24"/>
        </w:rPr>
        <w:t>重庆国际旅行卫生保健中心2026年职业病体检信息管理系统采购项目</w:t>
      </w:r>
      <w:r>
        <w:rPr>
          <w:rFonts w:ascii="方正仿宋_GBK" w:eastAsia="方正仿宋_GBK" w:cs="方正仿宋_GBK" w:hint="eastAsia"/>
          <w:sz w:val="24"/>
        </w:rPr>
        <w:t>进行比选采购。本项目采购活动将严格落实节约能源、保护</w:t>
      </w:r>
      <w:r>
        <w:rPr>
          <w:rFonts w:ascii="方正仿宋_GBK" w:eastAsia="方正仿宋_GBK" w:cs="方正仿宋_GBK" w:hint="eastAsia"/>
          <w:color w:val="000000"/>
          <w:sz w:val="24"/>
        </w:rPr>
        <w:t>环境、扶持不发达地区和少数民族地区、促进中小企业发展等政府采购政策。</w:t>
      </w:r>
    </w:p>
    <w:p>
      <w:pPr>
        <w:widowControl/>
        <w:numPr>
          <w:ilvl w:val="0"/>
          <w:numId w:val="1"/>
        </w:numPr>
        <w:shd w:val="clear" w:color="auto" w:fill="FFFFFF"/>
        <w:spacing w:line="520" w:lineRule="exact"/>
        <w:ind w:left="0" w:firstLineChars="196" w:firstLine="470"/>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项目名称</w:t>
      </w:r>
    </w:p>
    <w:p>
      <w:pPr>
        <w:pStyle w:val="47"/>
        <w:spacing w:line="520" w:lineRule="exact"/>
        <w:ind w:firstLineChars="0" w:firstLine="0"/>
        <w:rPr>
          <w:rFonts w:ascii="方正仿宋_GBK" w:eastAsia="方正仿宋_GBK" w:cs="方正仿宋_GBK"/>
        </w:rPr>
      </w:pPr>
      <w:r>
        <w:rPr>
          <w:rFonts w:ascii="方正仿宋_GBK" w:eastAsia="方正仿宋_GBK" w:cs="方正仿宋_GBK" w:hint="eastAsia"/>
        </w:rPr>
        <w:t xml:space="preserve">     </w:t>
      </w:r>
      <w:r>
        <w:rPr>
          <w:rFonts w:ascii="方正仿宋_GBK" w:eastAsia="方正仿宋_GBK" w:cs="方正仿宋_GBK" w:hint="eastAsia"/>
          <w:color w:val="000000"/>
        </w:rPr>
        <w:t>重庆国际旅行卫生保健中心2026年职业病体检信息管理系统采购项目</w:t>
      </w:r>
    </w:p>
    <w:p>
      <w:pPr>
        <w:widowControl/>
        <w:shd w:val="clear" w:color="auto" w:fill="FFFFFF"/>
        <w:spacing w:line="520" w:lineRule="exact"/>
        <w:ind w:firstLineChars="200" w:firstLine="480"/>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二、采购内容、项目预算及最高限价</w:t>
      </w:r>
    </w:p>
    <w:tbl>
      <w:tblPr>
        <w:jc w:val="center"/>
        <w:tblW w:w="7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3"/>
        <w:gridCol w:w="3953"/>
        <w:gridCol w:w="2667"/>
      </w:tblGrid>
      <w:tr>
        <w:trPr>
          <w:trHeight w:val="450"/>
        </w:trPr>
        <w:tc>
          <w:tcPr>
            <w:tcW w:w="1363" w:type="dxa"/>
          </w:tcPr>
          <w:p>
            <w:pPr>
              <w:widowControl/>
              <w:spacing w:line="520" w:lineRule="exact"/>
              <w:jc w:val="center"/>
              <w:rPr>
                <w:rFonts w:ascii="方正仿宋_GBK" w:eastAsia="方正仿宋_GBK" w:cs="方正仿宋_GBK"/>
                <w:color w:val="000000"/>
                <w:kern w:val="0"/>
                <w:sz w:val="24"/>
              </w:rPr>
            </w:pPr>
            <w:r>
              <w:rPr>
                <w:rFonts w:ascii="方正仿宋_GBK" w:eastAsia="方正仿宋_GBK" w:cs="方正仿宋_GBK" w:hint="eastAsia"/>
                <w:color w:val="000000"/>
                <w:kern w:val="0"/>
                <w:sz w:val="24"/>
              </w:rPr>
              <w:t>序号</w:t>
            </w:r>
          </w:p>
        </w:tc>
        <w:tc>
          <w:tcPr>
            <w:tcW w:w="3953" w:type="dxa"/>
          </w:tcPr>
          <w:p>
            <w:pPr>
              <w:widowControl/>
              <w:spacing w:line="520" w:lineRule="exact"/>
              <w:jc w:val="center"/>
              <w:rPr>
                <w:rFonts w:ascii="方正仿宋_GBK" w:eastAsia="方正仿宋_GBK" w:cs="方正仿宋_GBK"/>
                <w:color w:val="000000"/>
                <w:kern w:val="0"/>
                <w:sz w:val="24"/>
              </w:rPr>
            </w:pPr>
            <w:r>
              <w:rPr>
                <w:rFonts w:ascii="方正仿宋_GBK" w:eastAsia="方正仿宋_GBK" w:cs="方正仿宋_GBK" w:hint="eastAsia"/>
                <w:color w:val="000000"/>
                <w:kern w:val="0"/>
                <w:sz w:val="24"/>
              </w:rPr>
              <w:t>采购内容</w:t>
            </w:r>
          </w:p>
        </w:tc>
        <w:tc>
          <w:tcPr>
            <w:tcW w:w="2667" w:type="dxa"/>
          </w:tcPr>
          <w:p>
            <w:pPr>
              <w:widowControl/>
              <w:spacing w:line="520" w:lineRule="exact"/>
              <w:jc w:val="center"/>
              <w:rPr>
                <w:rFonts w:ascii="方正仿宋_GBK" w:eastAsia="方正仿宋_GBK" w:cs="方正仿宋_GBK"/>
                <w:color w:val="000000"/>
                <w:kern w:val="0"/>
                <w:sz w:val="24"/>
              </w:rPr>
            </w:pPr>
            <w:r>
              <w:rPr>
                <w:rFonts w:ascii="方正仿宋_GBK" w:eastAsia="方正仿宋_GBK" w:cs="方正仿宋_GBK" w:hint="eastAsia"/>
                <w:color w:val="000000"/>
                <w:kern w:val="0"/>
                <w:sz w:val="24"/>
              </w:rPr>
              <w:t>项目预算（万元）</w:t>
            </w:r>
          </w:p>
        </w:tc>
      </w:tr>
      <w:tr>
        <w:trPr>
          <w:trHeight w:val="1456"/>
        </w:trPr>
        <w:tc>
          <w:tcPr>
            <w:tcW w:w="1363" w:type="dxa"/>
          </w:tcPr>
          <w:p>
            <w:pPr>
              <w:widowControl/>
              <w:spacing w:line="520" w:lineRule="exact"/>
              <w:jc w:val="center"/>
              <w:rPr>
                <w:rFonts w:ascii="方正仿宋_GBK" w:eastAsia="方正仿宋_GBK" w:cs="方正仿宋_GBK"/>
                <w:color w:val="000000"/>
                <w:kern w:val="0"/>
                <w:sz w:val="24"/>
              </w:rPr>
            </w:pPr>
          </w:p>
          <w:p>
            <w:pPr>
              <w:widowControl/>
              <w:spacing w:line="520" w:lineRule="exact"/>
              <w:jc w:val="center"/>
              <w:rPr>
                <w:rFonts w:ascii="方正仿宋_GBK" w:eastAsia="方正仿宋_GBK" w:cs="方正仿宋_GBK"/>
                <w:color w:val="000000"/>
                <w:kern w:val="0"/>
                <w:sz w:val="24"/>
              </w:rPr>
            </w:pPr>
            <w:r>
              <w:rPr>
                <w:rFonts w:ascii="方正仿宋_GBK" w:eastAsia="方正仿宋_GBK" w:cs="方正仿宋_GBK" w:hint="eastAsia"/>
                <w:color w:val="000000"/>
                <w:kern w:val="0"/>
                <w:sz w:val="24"/>
              </w:rPr>
              <w:t>1</w:t>
            </w:r>
          </w:p>
        </w:tc>
        <w:tc>
          <w:tcPr>
            <w:tcW w:w="3953" w:type="dxa"/>
          </w:tcPr>
          <w:p>
            <w:pPr>
              <w:pStyle w:val="72"/>
              <w:spacing w:line="520" w:lineRule="exact"/>
              <w:jc w:val="center"/>
              <w:rPr>
                <w:rFonts w:ascii="方正仿宋_GBK" w:eastAsia="方正仿宋_GBK" w:cs="方正仿宋_GBK"/>
                <w:color w:val="000000"/>
                <w:kern w:val="0"/>
                <w:sz w:val="24"/>
              </w:rPr>
            </w:pPr>
            <w:r>
              <w:rPr>
                <w:rFonts w:ascii="方正仿宋_GBK" w:eastAsia="方正仿宋_GBK" w:cs="方正仿宋_GBK" w:hint="eastAsia"/>
                <w:color w:val="000000"/>
                <w:sz w:val="24"/>
              </w:rPr>
              <w:t>重庆国际旅行卫生保健中心2026年职业病体检信息管理系统采购项目</w:t>
            </w:r>
          </w:p>
        </w:tc>
        <w:tc>
          <w:tcPr>
            <w:tcW w:w="2667" w:type="dxa"/>
            <w:vAlign w:val="center"/>
          </w:tcPr>
          <w:p>
            <w:pPr>
              <w:widowControl/>
              <w:spacing w:line="520" w:lineRule="exact"/>
              <w:jc w:val="center"/>
              <w:rPr>
                <w:rFonts w:ascii="方正仿宋_GBK" w:eastAsia="方正仿宋_GBK" w:cs="方正仿宋_GBK"/>
                <w:color w:val="C00000"/>
                <w:sz w:val="24"/>
              </w:rPr>
            </w:pPr>
            <w:r>
              <w:rPr>
                <w:rFonts w:ascii="方正仿宋_GBK" w:eastAsia="方正仿宋_GBK" w:cs="方正仿宋_GBK" w:hint="eastAsia"/>
                <w:sz w:val="24"/>
              </w:rPr>
              <w:t>9.00</w:t>
            </w:r>
          </w:p>
        </w:tc>
      </w:tr>
    </w:tbl>
    <w:p>
      <w:pPr>
        <w:spacing w:line="520" w:lineRule="exact"/>
        <w:ind w:firstLineChars="300" w:firstLine="720"/>
        <w:rPr>
          <w:rFonts w:ascii="方正仿宋_GBK" w:eastAsia="方正仿宋_GBK" w:cs="方正仿宋_GBK"/>
          <w:sz w:val="24"/>
        </w:rPr>
      </w:pPr>
      <w:r>
        <w:rPr>
          <w:rFonts w:ascii="方正仿宋_GBK" w:eastAsia="方正仿宋_GBK" w:cs="方正仿宋_GBK" w:hint="eastAsia"/>
          <w:color w:val="000000"/>
          <w:sz w:val="24"/>
          <w14:textFill>
            <w14:solidFill>
              <w14:srgbClr w14:val="000000"/>
            </w14:solidFill>
          </w14:textFill>
        </w:rPr>
        <w:t>本次比选拟从参与比选的供应商中按综合评分法确定1家供应商作为中标供应商。</w:t>
      </w:r>
    </w:p>
    <w:p>
      <w:pPr>
        <w:pStyle w:val="63"/>
        <w:numPr>
          <w:ilvl w:val="0"/>
          <w:numId w:val="0"/>
        </w:numPr>
        <w:spacing w:line="520" w:lineRule="exact"/>
        <w:ind w:left="0" w:firstLineChars="200" w:firstLine="480"/>
        <w:rPr>
          <w:rFonts w:ascii="方正小标宋_GBK" w:eastAsia="方正小标宋_GBK" w:cs="方正小标宋_GBK"/>
          <w:bCs/>
          <w:color w:val="000000"/>
          <w:kern w:val="0"/>
          <w:sz w:val="24"/>
          <w:szCs w:val="24"/>
        </w:rPr>
      </w:pPr>
      <w:r>
        <w:rPr>
          <w:rFonts w:ascii="方正小标宋_GBK" w:eastAsia="方正小标宋_GBK" w:cs="方正小标宋_GBK" w:hint="eastAsia"/>
          <w:bCs/>
          <w:color w:val="000000"/>
          <w:kern w:val="0"/>
          <w:sz w:val="24"/>
          <w:szCs w:val="24"/>
        </w:rPr>
        <w:t>三、★供应商资格要求</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合格投标人应首先符合政府采购法第二十二条规定的基本条件，同时符合根据该项目特点设置的特定资格条件。</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合格的供应商应符合下列条件：</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（一）满足《中华人民共和国政府采购法》第二十二条规定；</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1、具有独立承担民事责任的能力；</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2、具有良好的商业信誉和健全的财务会计制度；</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3、具有履行合同所必需的设备和专业技术能力；</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4、有依法缴纳税收和社会保障资金的良好记录；</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5、参加政府采购活动前三年内，在经营活动中没有重大违法记录。</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6、法律、行政法规规定的其他条件。</w:t>
      </w:r>
    </w:p>
    <w:p>
      <w:pPr>
        <w:pStyle w:val="79"/>
        <w:spacing w:line="520" w:lineRule="exact"/>
        <w:ind w:firstLineChars="233" w:firstLine="559"/>
        <w:rPr>
          <w:rFonts w:ascii="方正仿宋_GBK" w:eastAsia="方正仿宋_GBK" w:cs="方正仿宋_GBK"/>
          <w:sz w:val="24"/>
          <w:szCs w:val="24"/>
        </w:rPr>
      </w:pPr>
      <w:r>
        <w:rPr>
          <w:rFonts w:ascii="方正仿宋_GBK" w:eastAsia="方正仿宋_GBK" w:cs="方正仿宋_GBK" w:hint="eastAsia"/>
          <w:sz w:val="24"/>
          <w:szCs w:val="24"/>
        </w:rPr>
        <w:t>（二）本项目的特定资格要求：无。</w:t>
      </w:r>
    </w:p>
    <w:p>
      <w:pPr>
        <w:pStyle w:val="63"/>
        <w:numPr>
          <w:ilvl w:val="0"/>
          <w:numId w:val="0"/>
        </w:numPr>
        <w:spacing w:line="520" w:lineRule="exact"/>
        <w:ind w:left="0" w:firstLineChars="200" w:firstLine="480"/>
        <w:rPr>
          <w:rFonts w:ascii="方正小标宋_GBK" w:eastAsia="方正小标宋_GBK" w:cs="方正小标宋_GBK"/>
          <w:bCs/>
          <w:color w:val="000000"/>
          <w:kern w:val="0"/>
          <w:sz w:val="24"/>
          <w:szCs w:val="24"/>
        </w:rPr>
      </w:pPr>
      <w:r>
        <w:rPr>
          <w:rFonts w:ascii="方正小标宋_GBK" w:eastAsia="方正小标宋_GBK" w:cs="方正小标宋_GBK" w:hint="eastAsia"/>
          <w:bCs/>
          <w:color w:val="000000"/>
          <w:kern w:val="0"/>
          <w:sz w:val="24"/>
          <w:szCs w:val="24"/>
        </w:rPr>
        <w:t>四、比选文件的获取</w:t>
      </w:r>
    </w:p>
    <w:p>
      <w:pPr>
        <w:pStyle w:val="35"/>
        <w:shd w:val="clear" w:color="auto" w:fill="FFFFFF"/>
        <w:spacing w:before="210" w:beforeAutospacing="0" w:after="210" w:afterAutospacing="0" w:line="520" w:lineRule="exact"/>
        <w:ind w:firstLineChars="200" w:firstLine="480"/>
        <w:rPr>
          <w:rFonts w:ascii="方正仿宋_GBK" w:eastAsia="方正仿宋_GBK" w:cs="方正仿宋_GBK"/>
          <w:color w:val="333333"/>
        </w:rPr>
      </w:pPr>
      <w:r>
        <w:rPr>
          <w:rFonts w:ascii="方正仿宋_GBK" w:eastAsia="方正仿宋_GBK" w:cs="方正仿宋_GBK" w:hint="eastAsia"/>
          <w:shd w:val="clear" w:color="auto" w:fill="FFFFFF"/>
        </w:rPr>
        <w:t>获取时间：2026年07月13日起至提交响应</w:t>
      </w:r>
      <w:r>
        <w:rPr>
          <w:rFonts w:ascii="方正仿宋_GBK" w:eastAsia="方正仿宋_GBK" w:cs="方正仿宋_GBK" w:hint="eastAsia"/>
          <w:color w:val="333333"/>
          <w:shd w:val="clear" w:color="auto" w:fill="FFFFFF"/>
        </w:rPr>
        <w:t>文件截止时间前。</w:t>
      </w:r>
    </w:p>
    <w:p>
      <w:pPr>
        <w:pStyle w:val="35"/>
        <w:shd w:val="clear" w:color="auto" w:fill="FFFFFF"/>
        <w:spacing w:before="210" w:beforeAutospacing="0" w:after="210" w:afterAutospacing="0" w:line="520" w:lineRule="exact"/>
        <w:ind w:firstLineChars="200" w:firstLine="480"/>
        <w:rPr>
          <w:rFonts w:ascii="方正仿宋_GBK" w:eastAsia="方正仿宋_GBK" w:cs="方正仿宋_GBK"/>
          <w:color w:val="333333"/>
        </w:rPr>
      </w:pPr>
      <w:r>
        <w:rPr>
          <w:rFonts w:ascii="方正仿宋_GBK" w:eastAsia="方正仿宋_GBK" w:cs="方正仿宋_GBK" w:hint="eastAsia"/>
          <w:color w:val="333333"/>
          <w:shd w:val="clear" w:color="auto" w:fill="FFFFFF"/>
        </w:rPr>
        <w:t>获取方式：在重庆海关官方网站（www.chongqing.customs.gov.cn）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pPr>
        <w:spacing w:line="520" w:lineRule="exact"/>
        <w:ind w:firstLineChars="200" w:firstLine="480"/>
        <w:rPr>
          <w:rFonts w:ascii="方正小标宋_GBK" w:eastAsia="方正小标宋_GBK" w:cs="方正小标宋_GBK"/>
          <w:bCs/>
          <w:sz w:val="24"/>
        </w:rPr>
      </w:pPr>
      <w:r>
        <w:rPr>
          <w:rFonts w:ascii="方正小标宋_GBK" w:eastAsia="方正小标宋_GBK" w:cs="方正小标宋_GBK" w:hint="eastAsia"/>
          <w:bCs/>
          <w:sz w:val="24"/>
        </w:rPr>
        <w:t>五、响应文件的递交</w:t>
      </w:r>
    </w:p>
    <w:p>
      <w:pPr>
        <w:spacing w:line="520" w:lineRule="exact"/>
        <w:ind w:firstLineChars="200" w:firstLine="480"/>
        <w:rPr>
          <w:rFonts w:ascii="方正小标宋_GBK" w:eastAsia="方正小标宋_GBK" w:cs="方正小标宋_GBK"/>
          <w:bCs/>
          <w:sz w:val="24"/>
        </w:rPr>
      </w:pPr>
      <w:r>
        <w:rPr>
          <w:rFonts w:ascii="方正仿宋_GBK" w:eastAsia="方正仿宋_GBK" w:cs="方正仿宋_GBK" w:hint="eastAsia"/>
          <w:color w:val="333333"/>
          <w:sz w:val="24"/>
          <w:shd w:val="clear" w:color="auto" w:fill="FFFFFF"/>
        </w:rPr>
        <w:t>凡有意参加</w:t>
      </w:r>
      <w:r>
        <w:rPr>
          <w:rFonts w:ascii="方正仿宋_GBK" w:eastAsia="方正仿宋_GBK" w:cs="方正仿宋_GBK" w:hint="eastAsia"/>
          <w:sz w:val="24"/>
          <w:shd w:val="clear" w:color="auto" w:fill="FFFFFF"/>
        </w:rPr>
        <w:t>的供应商，请于2026年07月17日13：30（北京时间）-14:00（北京时间），采</w:t>
      </w:r>
      <w:r>
        <w:rPr>
          <w:rFonts w:ascii="方正仿宋_GBK" w:eastAsia="方正仿宋_GBK" w:cs="方正仿宋_GBK" w:hint="eastAsia"/>
          <w:color w:val="333333"/>
          <w:sz w:val="24"/>
          <w:shd w:val="clear" w:color="auto" w:fill="FFFFFF"/>
        </w:rPr>
        <w:t>取</w:t>
      </w:r>
      <w:r>
        <w:rPr>
          <w:rStyle w:val="41"/>
          <w:rFonts w:ascii="方正仿宋_GBK" w:eastAsia="方正仿宋_GBK" w:cs="方正仿宋_GBK" w:hint="eastAsia"/>
          <w:color w:val="333333"/>
          <w:sz w:val="24"/>
          <w:shd w:val="clear" w:color="auto" w:fill="FFFFFF"/>
        </w:rPr>
        <w:t>现场方式</w:t>
      </w:r>
      <w:r>
        <w:rPr>
          <w:rFonts w:ascii="方正仿宋_GBK" w:eastAsia="方正仿宋_GBK" w:cs="方正仿宋_GBK" w:hint="eastAsia"/>
          <w:color w:val="333333"/>
          <w:sz w:val="24"/>
          <w:shd w:val="clear" w:color="auto" w:fill="FFFFFF"/>
        </w:rPr>
        <w:t>，将响应文件</w:t>
      </w:r>
      <w:r>
        <w:rPr>
          <w:rStyle w:val="41"/>
          <w:rFonts w:ascii="方正仿宋_GBK" w:eastAsia="方正仿宋_GBK" w:cs="方正仿宋_GBK" w:hint="eastAsia"/>
          <w:color w:val="333333"/>
          <w:sz w:val="24"/>
          <w:shd w:val="clear" w:color="auto" w:fill="FFFFFF"/>
        </w:rPr>
        <w:t>送达</w:t>
      </w:r>
      <w:r>
        <w:rPr>
          <w:rFonts w:ascii="方正仿宋_GBK" w:eastAsia="方正仿宋_GBK" w:cs="方正仿宋_GBK" w:hint="eastAsia"/>
          <w:color w:val="333333"/>
          <w:sz w:val="24"/>
          <w:shd w:val="clear" w:color="auto" w:fill="FFFFFF"/>
        </w:rPr>
        <w:t>采购人（重庆市渝北区红石路185号（重庆国际旅行卫生保健中心）408室），文件一正一副，并在封面右上角注明。</w:t>
      </w:r>
    </w:p>
    <w:p>
      <w:pPr>
        <w:pStyle w:val="47"/>
        <w:spacing w:line="520" w:lineRule="exact"/>
        <w:ind w:firstLineChars="200" w:firstLine="480"/>
        <w:rPr>
          <w:rFonts w:ascii="方正仿宋_GBK" w:eastAsia="方正仿宋_GBK" w:cs="方正仿宋_GBK"/>
        </w:rPr>
      </w:pPr>
      <w:r>
        <w:rPr>
          <w:rFonts w:ascii="方正仿宋_GBK" w:eastAsia="方正仿宋_GBK" w:cs="方正仿宋_GBK" w:hint="eastAsia"/>
          <w:color w:val="333333"/>
          <w:shd w:val="clear" w:color="auto" w:fill="FFFFFF"/>
        </w:rPr>
        <w:t>自本公告发布之日</w:t>
      </w:r>
      <w:r>
        <w:rPr>
          <w:rFonts w:ascii="方正仿宋_GBK" w:eastAsia="方正仿宋_GBK" w:cs="方正仿宋_GBK" w:hint="eastAsia"/>
          <w:color w:val="333333"/>
          <w:kern w:val="2"/>
          <w:shd w:val="clear" w:color="auto" w:fill="FFFFFF"/>
        </w:rPr>
        <w:t>起至2026年07月17日。</w:t>
      </w:r>
    </w:p>
    <w:p>
      <w:pPr>
        <w:spacing w:line="520" w:lineRule="exact"/>
        <w:ind w:firstLineChars="200" w:firstLine="480"/>
        <w:rPr>
          <w:rFonts w:ascii="方正小标宋_GBK" w:eastAsia="方正小标宋_GBK" w:cs="方正小标宋_GBK"/>
          <w:bCs/>
          <w:sz w:val="24"/>
        </w:rPr>
      </w:pPr>
      <w:r>
        <w:rPr>
          <w:rFonts w:ascii="方正小标宋_GBK" w:eastAsia="方正小标宋_GBK" w:cs="方正小标宋_GBK"/>
          <w:bCs/>
          <w:sz w:val="24"/>
        </w:rPr>
        <w:t>六</w:t>
      </w:r>
      <w:r>
        <w:rPr>
          <w:rFonts w:ascii="方正小标宋_GBK" w:eastAsia="方正小标宋_GBK" w:cs="方正小标宋_GBK" w:hint="eastAsia"/>
          <w:bCs/>
          <w:sz w:val="24"/>
        </w:rPr>
        <w:t>、采购人信息</w:t>
      </w:r>
      <w:bookmarkStart w:id="2" w:name="_GoBack"/>
      <w:bookmarkEnd w:id="2"/>
    </w:p>
    <w:p>
      <w:pPr>
        <w:spacing w:line="520" w:lineRule="exact"/>
        <w:ind w:firstLineChars="200" w:firstLine="480"/>
        <w:rPr>
          <w:rFonts w:ascii="方正仿宋_GBK" w:eastAsia="方正仿宋_GBK" w:cs="方正仿宋_GBK"/>
          <w:sz w:val="24"/>
        </w:rPr>
      </w:pPr>
      <w:r>
        <w:rPr>
          <w:rFonts w:ascii="方正仿宋_GBK" w:eastAsia="方正仿宋_GBK" w:cs="方正仿宋_GBK" w:hint="eastAsia"/>
          <w:sz w:val="24"/>
        </w:rPr>
        <w:t>采购人：重庆国际旅行卫生保健中心（重庆海关口岸门诊部）</w:t>
      </w:r>
    </w:p>
    <w:p>
      <w:pPr>
        <w:spacing w:line="520" w:lineRule="exact"/>
        <w:ind w:firstLineChars="200" w:firstLine="480"/>
        <w:rPr>
          <w:rFonts w:ascii="方正仿宋_GBK" w:eastAsia="方正仿宋_GBK" w:cs="方正仿宋_GBK"/>
          <w:color w:val="333333"/>
          <w:sz w:val="24"/>
          <w:shd w:val="clear" w:color="auto" w:fill="FFFFFF"/>
        </w:rPr>
      </w:pPr>
      <w:r>
        <w:rPr>
          <w:rFonts w:ascii="方正仿宋_GBK" w:eastAsia="方正仿宋_GBK" w:cs="方正仿宋_GBK" w:hint="eastAsia"/>
          <w:sz w:val="24"/>
        </w:rPr>
        <w:t>地址：</w:t>
      </w:r>
      <w:bookmarkStart w:id="3" w:name="_Toc506278872"/>
      <w:bookmarkStart w:id="4" w:name="_Toc505867273"/>
      <w:r>
        <w:rPr>
          <w:rFonts w:ascii="方正仿宋_GBK" w:eastAsia="方正仿宋_GBK" w:cs="方正仿宋_GBK" w:hint="eastAsia"/>
          <w:color w:val="333333"/>
          <w:sz w:val="24"/>
          <w:shd w:val="clear" w:color="auto" w:fill="FFFFFF"/>
        </w:rPr>
        <w:t>重庆市渝北区红石路185号</w:t>
      </w:r>
    </w:p>
    <w:p>
      <w:pPr>
        <w:spacing w:line="520" w:lineRule="exact"/>
        <w:ind w:firstLineChars="200" w:firstLine="480"/>
        <w:rPr>
          <w:rFonts w:ascii="方正仿宋_GBK" w:eastAsia="方正仿宋_GBK" w:cs="方正仿宋_GBK"/>
          <w:sz w:val="24"/>
        </w:rPr>
      </w:pPr>
      <w:r>
        <w:rPr>
          <w:rFonts w:ascii="方正仿宋_GBK" w:eastAsia="方正仿宋_GBK" w:cs="方正仿宋_GBK" w:hint="eastAsia"/>
          <w:sz w:val="24"/>
        </w:rPr>
        <w:t>联系电话：023-86883311</w:t>
      </w:r>
    </w:p>
    <w:p>
      <w:pPr>
        <w:spacing w:line="520" w:lineRule="exact"/>
        <w:ind w:firstLineChars="200" w:firstLine="480"/>
        <w:rPr>
          <w:rFonts w:ascii="方正仿宋_GBK" w:eastAsia="方正仿宋_GBK" w:cs="方正仿宋_GBK"/>
          <w:sz w:val="24"/>
        </w:rPr>
      </w:pPr>
      <w:r>
        <w:rPr>
          <w:rFonts w:ascii="方正仿宋_GBK" w:eastAsia="方正仿宋_GBK" w:cs="方正仿宋_GBK" w:hint="eastAsia"/>
          <w:sz w:val="24"/>
        </w:rPr>
        <w:t>项目负责人：郑老师</w:t>
      </w:r>
    </w:p>
    <w:p>
      <w:pPr>
        <w:spacing w:line="520" w:lineRule="exact"/>
        <w:ind w:firstLineChars="200" w:firstLine="480"/>
        <w:rPr>
          <w:rFonts w:ascii="方正仿宋_GBK" w:eastAsia="方正仿宋_GBK" w:cs="方正仿宋_GBK"/>
          <w:sz w:val="24"/>
        </w:rPr>
      </w:pPr>
      <w:r>
        <w:rPr>
          <w:rFonts w:ascii="方正仿宋_GBK" w:eastAsia="方正仿宋_GBK" w:cs="方正仿宋_GBK" w:hint="eastAsia"/>
          <w:sz w:val="24"/>
        </w:rPr>
        <w:t>联系电话：13983159529</w:t>
      </w:r>
    </w:p>
    <w:p>
      <w:pPr>
        <w:spacing w:line="520" w:lineRule="exact"/>
        <w:ind w:firstLineChars="200" w:firstLine="480"/>
        <w:rPr>
          <w:rFonts w:ascii="方正仿宋_GBK" w:eastAsia="方正仿宋_GBK" w:cs="方正仿宋_GBK"/>
          <w:sz w:val="24"/>
        </w:rPr>
      </w:pPr>
    </w:p>
    <w:p>
      <w:pPr>
        <w:pStyle w:val="1"/>
        <w:tabs>
          <w:tab w:val="left" w:pos="432"/>
        </w:tabs>
        <w:spacing w:line="520" w:lineRule="exact"/>
        <w:ind w:left="0" w:firstLine="0"/>
        <w:jc w:val="both"/>
      </w:pPr>
      <w:bookmarkStart w:id="5" w:name="_Toc520887028"/>
    </w:p>
    <w:p>
      <w:pPr>
        <w:spacing w:line="520" w:lineRule="exact"/>
      </w:pPr>
    </w:p>
    <w:p>
      <w:pPr>
        <w:spacing w:line="520" w:lineRule="exact"/>
      </w:pPr>
    </w:p>
    <w:p>
      <w:pPr>
        <w:spacing w:line="520" w:lineRule="exact"/>
      </w:pPr>
    </w:p>
    <w:p>
      <w:pPr>
        <w:pStyle w:val="1"/>
        <w:tabs>
          <w:tab w:val="left" w:pos="432"/>
        </w:tabs>
        <w:spacing w:line="520" w:lineRule="exact"/>
        <w:ind w:leftChars="519" w:left="1090" w:firstLineChars="295" w:firstLine="1298"/>
        <w:jc w:val="both"/>
        <w:rPr>
          <w:rFonts w:ascii="宋体" w:eastAsia="宋体"/>
          <w:b/>
          <w:sz w:val="44"/>
          <w:szCs w:val="44"/>
        </w:rPr>
      </w:pPr>
    </w:p>
    <w:p>
      <w:pPr>
        <w:pStyle w:val="1"/>
        <w:tabs>
          <w:tab w:val="left" w:pos="432"/>
        </w:tabs>
        <w:spacing w:line="520" w:lineRule="exact"/>
        <w:ind w:left="0" w:firstLine="0"/>
        <w:jc w:val="both"/>
        <w:rPr>
          <w:rFonts w:ascii="方正小标宋_GBK" w:eastAsia="方正小标宋_GBK" w:cs="方正小标宋_GBK"/>
          <w:bCs/>
          <w:sz w:val="44"/>
          <w:szCs w:val="44"/>
        </w:rPr>
      </w:pPr>
    </w:p>
    <w:p>
      <w:pPr>
        <w:pStyle w:val="1"/>
        <w:tabs>
          <w:tab w:val="left" w:pos="432"/>
        </w:tabs>
        <w:spacing w:line="520" w:lineRule="exact"/>
        <w:ind w:left="0" w:firstLine="0"/>
        <w:jc w:val="both"/>
        <w:rPr>
          <w:rFonts w:ascii="方正小标宋_GBK" w:eastAsia="方正小标宋_GBK" w:cs="方正小标宋_GBK"/>
          <w:bCs/>
          <w:sz w:val="44"/>
          <w:szCs w:val="44"/>
        </w:rPr>
      </w:pPr>
    </w:p>
    <w:p>
      <w:pPr>
        <w:pStyle w:val="1"/>
        <w:tabs>
          <w:tab w:val="left" w:pos="432"/>
        </w:tabs>
        <w:spacing w:line="520" w:lineRule="exact"/>
        <w:ind w:leftChars="519" w:left="1090" w:firstLineChars="295" w:firstLine="1298"/>
        <w:jc w:val="both"/>
        <w:rPr>
          <w:rFonts w:ascii="方正小标宋_GBK" w:eastAsia="方正小标宋_GBK" w:cs="方正小标宋_GBK"/>
          <w:bCs/>
          <w:sz w:val="44"/>
          <w:szCs w:val="44"/>
        </w:rPr>
      </w:pPr>
    </w:p>
    <w:p>
      <w:pPr>
        <w:pStyle w:val="1"/>
        <w:tabs>
          <w:tab w:val="left" w:pos="432"/>
        </w:tabs>
        <w:spacing w:line="520" w:lineRule="exact"/>
        <w:ind w:left="0" w:firstLine="0"/>
        <w:jc w:val="both"/>
        <w:rPr>
          <w:rFonts w:ascii="方正小标宋_GBK" w:eastAsia="方正小标宋_GBK" w:cs="方正小标宋_GBK"/>
          <w:bCs/>
          <w:sz w:val="44"/>
          <w:szCs w:val="44"/>
        </w:rPr>
      </w:pPr>
    </w:p>
    <w:p>
      <w:pPr>
        <w:rPr>
          <w:rFonts w:ascii="方正小标宋_GBK" w:eastAsia="方正小标宋_GBK" w:cs="方正小标宋_GBK"/>
          <w:bCs/>
          <w:sz w:val="44"/>
          <w:szCs w:val="44"/>
        </w:rPr>
      </w:pPr>
    </w:p>
    <w:p>
      <w:pPr>
        <w:pStyle w:val="1"/>
        <w:numPr>
          <w:ilvl w:val="0"/>
          <w:numId w:val="2"/>
        </w:numPr>
        <w:tabs>
          <w:tab w:val="left" w:pos="432"/>
        </w:tabs>
        <w:spacing w:line="520" w:lineRule="exact"/>
        <w:ind w:leftChars="519" w:left="1090" w:firstLineChars="295" w:firstLine="1298"/>
        <w:jc w:val="both"/>
        <w:rPr>
          <w:rFonts w:ascii="方正小标宋_GBK" w:eastAsia="方正小标宋_GBK" w:cs="方正小标宋_GBK"/>
          <w:bCs/>
          <w:sz w:val="44"/>
          <w:szCs w:val="44"/>
        </w:rPr>
      </w:pPr>
      <w:bookmarkEnd w:id="5"/>
      <w:r>
        <w:rPr>
          <w:rFonts w:ascii="方正小标宋_GBK" w:eastAsia="方正小标宋_GBK" w:cs="方正小标宋_GBK" w:hint="eastAsia"/>
          <w:bCs/>
          <w:sz w:val="44"/>
          <w:szCs w:val="44"/>
        </w:rPr>
        <w:t>供应商须知</w:t>
      </w:r>
    </w:p>
    <w:p/>
    <w:p>
      <w:pPr>
        <w:spacing w:afterLines="50" w:after="156" w:line="520" w:lineRule="exact"/>
        <w:ind w:left="840" w:hangingChars="350" w:hanging="840"/>
        <w:jc w:val="left"/>
        <w:rPr>
          <w:rFonts w:ascii="方正仿宋_GBK" w:eastAsia="方正仿宋_GBK" w:cs="方正仿宋_GBK"/>
          <w:sz w:val="24"/>
        </w:rPr>
      </w:pPr>
      <w:r>
        <w:rPr>
          <w:rFonts w:ascii="方正仿宋_GBK" w:eastAsia="方正仿宋_GBK" w:cs="方正仿宋_GBK" w:hint="eastAsia"/>
          <w:sz w:val="24"/>
        </w:rPr>
        <w:t>注：1、本须知前附表是对供应商须知的修改和补充，如有矛盾，均以本表为准。</w:t>
      </w:r>
    </w:p>
    <w:p>
      <w:pPr>
        <w:spacing w:afterLines="50" w:after="156" w:line="520" w:lineRule="exact"/>
        <w:ind w:left="840" w:hangingChars="350" w:hanging="840"/>
        <w:jc w:val="left"/>
        <w:rPr>
          <w:rFonts w:ascii="方正仿宋_GBK" w:eastAsia="方正仿宋_GBK" w:cs="方正仿宋_GBK"/>
          <w:sz w:val="24"/>
        </w:rPr>
      </w:pPr>
      <w:r>
        <w:rPr>
          <w:rFonts w:ascii="方正仿宋_GBK" w:eastAsia="方正仿宋_GBK" w:cs="方正仿宋_GBK" w:hint="eastAsia"/>
          <w:sz w:val="24"/>
        </w:rPr>
        <w:t xml:space="preserve">    2、本附表中“★”标志的为实质性条款，如有其中一项不符合则响应文件将被取消中标资格。</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1"/>
        <w:gridCol w:w="2438"/>
        <w:gridCol w:w="6212"/>
      </w:tblGrid>
      <w:tr>
        <w:trPr>
          <w:trHeight w:val="454"/>
          <w:tblHeader/>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条款号</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类别</w:t>
            </w:r>
          </w:p>
        </w:tc>
        <w:tc>
          <w:tcPr>
            <w:tcW w:w="6212"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内容说明</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1</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采购人</w:t>
            </w:r>
          </w:p>
        </w:tc>
        <w:tc>
          <w:tcPr>
            <w:tcW w:w="6212" w:type="dxa"/>
            <w:noWrap/>
            <w:vAlign w:val="center"/>
          </w:tcPr>
          <w:p>
            <w:pPr>
              <w:pStyle w:val="23"/>
              <w:adjustRightInd w:val="0"/>
              <w:snapToGrid w:val="0"/>
              <w:spacing w:line="520" w:lineRule="exact"/>
              <w:jc w:val="left"/>
              <w:rPr>
                <w:rFonts w:ascii="方正仿宋_GBK" w:eastAsia="方正仿宋_GBK" w:cs="方正仿宋_GBK"/>
                <w:sz w:val="24"/>
                <w:szCs w:val="24"/>
              </w:rPr>
            </w:pPr>
            <w:r>
              <w:rPr>
                <w:rFonts w:ascii="方正仿宋_GBK" w:eastAsia="方正仿宋_GBK" w:cs="方正仿宋_GBK" w:hint="eastAsia"/>
                <w:sz w:val="24"/>
                <w:szCs w:val="24"/>
              </w:rPr>
              <w:t>重庆国际旅行卫生保健中心（重庆海关口岸门诊部）</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2</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项目名称</w:t>
            </w:r>
          </w:p>
        </w:tc>
        <w:tc>
          <w:tcPr>
            <w:tcW w:w="6212" w:type="dxa"/>
            <w:noWrap/>
            <w:vAlign w:val="center"/>
          </w:tcPr>
          <w:p>
            <w:pPr>
              <w:spacing w:line="520" w:lineRule="exact"/>
              <w:jc w:val="left"/>
              <w:rPr>
                <w:rFonts w:ascii="方正仿宋_GBK" w:eastAsia="方正仿宋_GBK" w:cs="方正仿宋_GBK"/>
                <w:sz w:val="24"/>
              </w:rPr>
            </w:pPr>
            <w:r>
              <w:rPr>
                <w:rFonts w:ascii="方正仿宋_GBK" w:eastAsia="方正仿宋_GBK" w:cs="方正仿宋_GBK" w:hint="eastAsia"/>
                <w:sz w:val="24"/>
              </w:rPr>
              <w:t>重庆国际旅行卫生保健中心2026年职业病体检信息管理系统采购项目</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3</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★最高限价</w:t>
            </w:r>
          </w:p>
        </w:tc>
        <w:tc>
          <w:tcPr>
            <w:tcW w:w="6212" w:type="dxa"/>
            <w:noWrap/>
            <w:vAlign w:val="center"/>
          </w:tcPr>
          <w:p>
            <w:pPr>
              <w:pStyle w:val="23"/>
              <w:adjustRightInd w:val="0"/>
              <w:snapToGrid w:val="0"/>
              <w:spacing w:line="520" w:lineRule="exact"/>
              <w:rPr>
                <w:rFonts w:ascii="方正仿宋_GBK" w:eastAsia="方正仿宋_GBK" w:cs="方正仿宋_GBK"/>
                <w:sz w:val="24"/>
                <w:szCs w:val="24"/>
              </w:rPr>
            </w:pPr>
            <w:r>
              <w:rPr>
                <w:rFonts w:ascii="方正仿宋_GBK" w:eastAsia="方正仿宋_GBK" w:cs="方正仿宋_GBK" w:hint="eastAsia"/>
                <w:sz w:val="24"/>
                <w:szCs w:val="24"/>
              </w:rPr>
              <w:t>9万元</w:t>
            </w:r>
          </w:p>
        </w:tc>
      </w:tr>
      <w:tr>
        <w:trPr>
          <w:trHeight w:val="454"/>
        </w:trPr>
        <w:tc>
          <w:tcPr>
            <w:tcW w:w="9741" w:type="dxa"/>
            <w:gridSpan w:val="3"/>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参与比选的基本原则</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4</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★供应商资质要求</w:t>
            </w:r>
          </w:p>
        </w:tc>
        <w:tc>
          <w:tcPr>
            <w:tcW w:w="6212" w:type="dxa"/>
            <w:noWrap/>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详见比选</w:t>
            </w:r>
          </w:p>
        </w:tc>
      </w:tr>
      <w:tr>
        <w:trPr>
          <w:trHeight w:val="454"/>
        </w:trPr>
        <w:tc>
          <w:tcPr>
            <w:tcW w:w="9741" w:type="dxa"/>
            <w:gridSpan w:val="3"/>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响应文件编写</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5</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响应报价</w:t>
            </w:r>
          </w:p>
        </w:tc>
        <w:tc>
          <w:tcPr>
            <w:tcW w:w="6212" w:type="dxa"/>
            <w:noWrap/>
            <w:vAlign w:val="center"/>
          </w:tcPr>
          <w:p>
            <w:pPr>
              <w:spacing w:line="520" w:lineRule="exact"/>
              <w:ind w:leftChars="-2" w:left="-4" w:firstLineChars="2" w:firstLine="5"/>
              <w:rPr>
                <w:rFonts w:ascii="方正仿宋_GBK" w:eastAsia="方正仿宋_GBK" w:cs="方正仿宋_GBK"/>
                <w:sz w:val="24"/>
              </w:rPr>
            </w:pPr>
            <w:r>
              <w:rPr>
                <w:rFonts w:ascii="方正仿宋_GBK" w:eastAsia="方正仿宋_GBK" w:cs="方正仿宋_GBK" w:hint="eastAsia"/>
                <w:sz w:val="24"/>
              </w:rPr>
              <w:t>（1）供应商的报价为所有产品报价。</w:t>
            </w:r>
          </w:p>
          <w:p>
            <w:pPr>
              <w:snapToGrid w:val="0"/>
              <w:spacing w:line="520" w:lineRule="exact"/>
              <w:rPr>
                <w:rFonts w:ascii="方正仿宋_GBK" w:eastAsia="方正仿宋_GBK" w:cs="方正仿宋_GBK"/>
                <w:sz w:val="24"/>
              </w:rPr>
            </w:pPr>
            <w:r>
              <w:rPr>
                <w:rFonts w:ascii="方正仿宋_GBK" w:eastAsia="方正仿宋_GBK" w:cs="方正仿宋_GBK" w:hint="eastAsia"/>
                <w:sz w:val="24"/>
              </w:rPr>
              <w:t>（2）报价包括所需产品价、安装调试费、人工费（含二次加工费等）、差旅费、保险费、税费等货到采购人指定地点的所有费用。因供应商自身原因造成漏报、少报皆由其自行承担责任，采购人不再补偿。</w:t>
            </w:r>
          </w:p>
          <w:p>
            <w:pPr>
              <w:spacing w:line="520" w:lineRule="exact"/>
              <w:ind w:firstLine="2"/>
              <w:rPr>
                <w:rFonts w:ascii="方正仿宋_GBK" w:eastAsia="方正仿宋_GBK" w:cs="方正仿宋_GBK"/>
                <w:color w:val="000000"/>
                <w:sz w:val="24"/>
              </w:rPr>
            </w:pPr>
            <w:r>
              <w:rPr>
                <w:rFonts w:ascii="方正仿宋_GBK" w:eastAsia="方正仿宋_GBK" w:cs="方正仿宋_GBK" w:hint="eastAsia"/>
                <w:sz w:val="24"/>
              </w:rPr>
              <w:t>（3）供</w:t>
            </w:r>
            <w:r>
              <w:rPr>
                <w:rFonts w:ascii="方正仿宋_GBK" w:eastAsia="方正仿宋_GBK" w:cs="方正仿宋_GBK" w:hint="eastAsia"/>
                <w:color w:val="000000"/>
                <w:kern w:val="24"/>
                <w:sz w:val="24"/>
              </w:rPr>
              <w:t>应商的报价在合同执行过程中是固定不变的，未经采购人许可不得以任何理由予以变更。</w:t>
            </w:r>
            <w:r>
              <w:rPr>
                <w:rFonts w:ascii="方正仿宋_GBK" w:eastAsia="方正仿宋_GBK" w:cs="方正仿宋_GBK" w:hint="eastAsia"/>
                <w:color w:val="000000"/>
                <w:sz w:val="24"/>
              </w:rPr>
              <w:t>供应商的报价应充分考虑在采购合同有效期内的风险因素。</w:t>
            </w:r>
          </w:p>
          <w:p>
            <w:pPr>
              <w:spacing w:line="520" w:lineRule="exact"/>
              <w:ind w:firstLine="2"/>
              <w:rPr>
                <w:rFonts w:ascii="方正仿宋_GBK" w:eastAsia="方正仿宋_GBK" w:cs="方正仿宋_GBK"/>
                <w:sz w:val="24"/>
              </w:rPr>
            </w:pPr>
            <w:r>
              <w:rPr>
                <w:rFonts w:ascii="方正仿宋_GBK" w:eastAsia="方正仿宋_GBK" w:cs="方正仿宋_GBK" w:hint="eastAsia"/>
                <w:sz w:val="24"/>
              </w:rPr>
              <w:t>（4）</w:t>
            </w:r>
            <w:r>
              <w:rPr>
                <w:rFonts w:ascii="方正仿宋_GBK" w:eastAsia="方正仿宋_GBK" w:cs="方正仿宋_GBK" w:hint="eastAsia"/>
                <w:color w:val="000000"/>
                <w:sz w:val="24"/>
              </w:rPr>
              <w:t>针对同一项目，一个供应商不得提交两个或两个以上不同的比选文件或响应报价，本项目无二次报价。</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6</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w:t>
            </w:r>
            <w:r>
              <w:rPr>
                <w:rFonts w:ascii="方正仿宋_GBK" w:eastAsia="方正仿宋_GBK" w:cs="方正仿宋_GBK" w:hint="eastAsia"/>
                <w:bCs/>
                <w:sz w:val="24"/>
                <w:szCs w:val="24"/>
              </w:rPr>
              <w:t>报价有效期</w:t>
            </w:r>
          </w:p>
        </w:tc>
        <w:tc>
          <w:tcPr>
            <w:tcW w:w="6212" w:type="dxa"/>
            <w:noWrap/>
            <w:vAlign w:val="center"/>
          </w:tcPr>
          <w:p>
            <w:pPr>
              <w:pStyle w:val="23"/>
              <w:adjustRightInd w:val="0"/>
              <w:snapToGrid w:val="0"/>
              <w:spacing w:line="520" w:lineRule="exact"/>
              <w:rPr>
                <w:rFonts w:ascii="方正仿宋_GBK" w:eastAsia="方正仿宋_GBK" w:cs="方正仿宋_GBK"/>
                <w:sz w:val="24"/>
                <w:szCs w:val="24"/>
              </w:rPr>
            </w:pPr>
            <w:r>
              <w:rPr>
                <w:rFonts w:ascii="方正仿宋_GBK" w:eastAsia="方正仿宋_GBK" w:cs="方正仿宋_GBK" w:hint="eastAsia"/>
                <w:sz w:val="24"/>
                <w:szCs w:val="24"/>
                <w:u w:val="single"/>
              </w:rPr>
              <w:t>90</w:t>
            </w:r>
            <w:r>
              <w:rPr>
                <w:rFonts w:ascii="方正仿宋_GBK" w:eastAsia="方正仿宋_GBK" w:cs="方正仿宋_GBK" w:hint="eastAsia"/>
                <w:bCs/>
                <w:sz w:val="24"/>
                <w:szCs w:val="24"/>
              </w:rPr>
              <w:t>日历天（从响应文件递交之日起计算）。</w:t>
            </w:r>
          </w:p>
        </w:tc>
      </w:tr>
      <w:tr>
        <w:trPr>
          <w:trHeight w:val="454"/>
        </w:trPr>
        <w:tc>
          <w:tcPr>
            <w:tcW w:w="9741" w:type="dxa"/>
            <w:gridSpan w:val="3"/>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响应文件的递交</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7</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响应文件份数</w:t>
            </w:r>
          </w:p>
        </w:tc>
        <w:tc>
          <w:tcPr>
            <w:tcW w:w="6212" w:type="dxa"/>
            <w:noWrap/>
            <w:vAlign w:val="center"/>
          </w:tcPr>
          <w:p>
            <w:pPr>
              <w:pStyle w:val="23"/>
              <w:adjustRightInd w:val="0"/>
              <w:snapToGrid w:val="0"/>
              <w:spacing w:line="520" w:lineRule="exact"/>
              <w:rPr>
                <w:rFonts w:ascii="方正仿宋_GBK" w:eastAsia="方正仿宋_GBK" w:cs="方正仿宋_GBK"/>
                <w:sz w:val="24"/>
                <w:szCs w:val="24"/>
              </w:rPr>
            </w:pPr>
            <w:r>
              <w:rPr>
                <w:rFonts w:ascii="方正仿宋_GBK" w:eastAsia="方正仿宋_GBK" w:cs="方正仿宋_GBK" w:hint="eastAsia"/>
                <w:sz w:val="24"/>
                <w:szCs w:val="24"/>
              </w:rPr>
              <w:t>响应文件正本1份，副本1份。</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8</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响应文件递交截止时间</w:t>
            </w:r>
          </w:p>
        </w:tc>
        <w:tc>
          <w:tcPr>
            <w:tcW w:w="6212" w:type="dxa"/>
            <w:noWrap/>
            <w:vAlign w:val="center"/>
          </w:tcPr>
          <w:p>
            <w:pPr>
              <w:pStyle w:val="23"/>
              <w:adjustRightInd w:val="0"/>
              <w:snapToGrid w:val="0"/>
              <w:spacing w:line="520" w:lineRule="exact"/>
              <w:rPr>
                <w:rFonts w:ascii="方正仿宋_GBK" w:eastAsia="方正仿宋_GBK" w:cs="方正仿宋_GBK"/>
                <w:b/>
                <w:sz w:val="24"/>
                <w:szCs w:val="24"/>
              </w:rPr>
            </w:pPr>
            <w:r>
              <w:rPr>
                <w:rFonts w:ascii="方正仿宋_GBK" w:eastAsia="方正仿宋_GBK" w:cs="方正仿宋_GBK" w:hint="eastAsia"/>
                <w:sz w:val="24"/>
                <w:szCs w:val="24"/>
              </w:rPr>
              <w:t>详见比选通知</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9</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项目会议日期、响应文件递交地点</w:t>
            </w:r>
          </w:p>
        </w:tc>
        <w:tc>
          <w:tcPr>
            <w:tcW w:w="6212" w:type="dxa"/>
            <w:noWrap/>
            <w:vAlign w:val="center"/>
          </w:tcPr>
          <w:p>
            <w:pPr>
              <w:pStyle w:val="23"/>
              <w:adjustRightInd w:val="0"/>
              <w:snapToGrid w:val="0"/>
              <w:spacing w:line="520" w:lineRule="exact"/>
              <w:rPr>
                <w:rFonts w:ascii="方正仿宋_GBK" w:eastAsia="方正仿宋_GBK" w:cs="方正仿宋_GBK"/>
                <w:sz w:val="24"/>
                <w:szCs w:val="24"/>
              </w:rPr>
            </w:pPr>
            <w:r>
              <w:rPr>
                <w:rFonts w:ascii="方正仿宋_GBK" w:eastAsia="方正仿宋_GBK" w:cs="方正仿宋_GBK" w:hint="eastAsia"/>
                <w:sz w:val="24"/>
                <w:szCs w:val="24"/>
              </w:rPr>
              <w:t>详见比选通知</w:t>
            </w:r>
          </w:p>
        </w:tc>
      </w:tr>
      <w:tr>
        <w:trPr>
          <w:trHeight w:val="469"/>
        </w:trPr>
        <w:tc>
          <w:tcPr>
            <w:tcW w:w="9741" w:type="dxa"/>
            <w:gridSpan w:val="3"/>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评审与推荐成交供应商原则</w:t>
            </w:r>
          </w:p>
        </w:tc>
      </w:tr>
      <w:tr>
        <w:trPr>
          <w:trHeight w:val="454"/>
        </w:trPr>
        <w:tc>
          <w:tcPr>
            <w:tcW w:w="1091"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10</w:t>
            </w:r>
          </w:p>
        </w:tc>
        <w:tc>
          <w:tcPr>
            <w:tcW w:w="2438" w:type="dxa"/>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评审办法及成交供应商的推荐原则</w:t>
            </w:r>
          </w:p>
        </w:tc>
        <w:tc>
          <w:tcPr>
            <w:tcW w:w="6212" w:type="dxa"/>
            <w:noWrap/>
            <w:vAlign w:val="center"/>
          </w:tcPr>
          <w:p>
            <w:pPr>
              <w:pStyle w:val="23"/>
              <w:adjustRightInd w:val="0"/>
              <w:snapToGrid w:val="0"/>
              <w:spacing w:line="520" w:lineRule="exact"/>
              <w:rPr>
                <w:rFonts w:ascii="方正仿宋_GBK" w:eastAsia="方正仿宋_GBK" w:cs="方正仿宋_GBK"/>
                <w:sz w:val="24"/>
                <w:szCs w:val="24"/>
              </w:rPr>
            </w:pPr>
            <w:r>
              <w:rPr>
                <w:rFonts w:ascii="方正仿宋_GBK" w:eastAsia="方正仿宋_GBK" w:cs="方正仿宋_GBK" w:hint="eastAsia"/>
                <w:sz w:val="24"/>
                <w:szCs w:val="24"/>
              </w:rPr>
              <w:t>本项目根据服务能满足采购文件实质性响应要求且</w:t>
            </w:r>
            <w:r>
              <w:rPr>
                <w:rFonts w:ascii="方正仿宋_GBK" w:eastAsia="方正仿宋_GBK" w:cs="方正仿宋_GBK" w:hint="eastAsia"/>
                <w:b/>
                <w:bCs/>
                <w:sz w:val="24"/>
                <w:szCs w:val="24"/>
              </w:rPr>
              <w:t>最后综合评分最高</w:t>
            </w:r>
            <w:r>
              <w:rPr>
                <w:rFonts w:ascii="方正仿宋_GBK" w:eastAsia="方正仿宋_GBK" w:cs="方正仿宋_GBK" w:hint="eastAsia"/>
                <w:sz w:val="24"/>
                <w:szCs w:val="24"/>
              </w:rPr>
              <w:t>的原则确定成交供应商。</w:t>
            </w:r>
          </w:p>
        </w:tc>
      </w:tr>
      <w:tr>
        <w:trPr>
          <w:trHeight w:val="454"/>
        </w:trPr>
        <w:tc>
          <w:tcPr>
            <w:tcW w:w="9741" w:type="dxa"/>
            <w:gridSpan w:val="3"/>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授予合同</w:t>
            </w:r>
          </w:p>
        </w:tc>
      </w:tr>
      <w:tr>
        <w:trPr>
          <w:trHeight w:val="454"/>
        </w:trPr>
        <w:tc>
          <w:tcPr>
            <w:tcW w:w="1091" w:type="dxa"/>
            <w:tcBorders>
              <w:right w:val="single" w:sz="4" w:space="0" w:color="auto"/>
            </w:tcBorders>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sz w:val="24"/>
                <w:szCs w:val="24"/>
              </w:rPr>
              <w:t>12</w:t>
            </w:r>
          </w:p>
        </w:tc>
        <w:tc>
          <w:tcPr>
            <w:tcW w:w="2438" w:type="dxa"/>
            <w:tcBorders>
              <w:left w:val="single" w:sz="4" w:space="0" w:color="auto"/>
              <w:right w:val="single" w:sz="4" w:space="0" w:color="auto"/>
            </w:tcBorders>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bCs/>
                <w:sz w:val="24"/>
                <w:szCs w:val="24"/>
              </w:rPr>
              <w:t>履约保证金</w:t>
            </w:r>
          </w:p>
        </w:tc>
        <w:tc>
          <w:tcPr>
            <w:tcW w:w="6212" w:type="dxa"/>
            <w:tcBorders>
              <w:left w:val="single" w:sz="4" w:space="0" w:color="auto"/>
            </w:tcBorders>
            <w:noWrap/>
            <w:vAlign w:val="center"/>
          </w:tcPr>
          <w:p>
            <w:pPr>
              <w:pStyle w:val="23"/>
              <w:adjustRightInd w:val="0"/>
              <w:snapToGrid w:val="0"/>
              <w:spacing w:line="520" w:lineRule="exact"/>
              <w:rPr>
                <w:rFonts w:ascii="方正仿宋_GBK" w:eastAsia="方正仿宋_GBK" w:cs="方正仿宋_GBK"/>
                <w:sz w:val="24"/>
                <w:szCs w:val="24"/>
              </w:rPr>
            </w:pPr>
            <w:r>
              <w:rPr>
                <w:rFonts w:ascii="方正仿宋_GBK" w:eastAsia="方正仿宋_GBK" w:cs="方正仿宋_GBK" w:hint="eastAsia"/>
                <w:sz w:val="24"/>
                <w:szCs w:val="24"/>
              </w:rPr>
              <w:t>无</w:t>
            </w:r>
          </w:p>
        </w:tc>
      </w:tr>
      <w:tr>
        <w:trPr>
          <w:trHeight w:val="454"/>
        </w:trPr>
        <w:tc>
          <w:tcPr>
            <w:tcW w:w="9741" w:type="dxa"/>
            <w:gridSpan w:val="3"/>
            <w:noWrap/>
            <w:vAlign w:val="center"/>
          </w:tcPr>
          <w:p>
            <w:pPr>
              <w:pStyle w:val="23"/>
              <w:adjustRightInd w:val="0"/>
              <w:snapToGrid w:val="0"/>
              <w:spacing w:line="520" w:lineRule="exact"/>
              <w:jc w:val="center"/>
              <w:rPr>
                <w:rFonts w:ascii="方正仿宋_GBK" w:eastAsia="方正仿宋_GBK" w:cs="方正仿宋_GBK"/>
                <w:sz w:val="24"/>
                <w:szCs w:val="24"/>
              </w:rPr>
            </w:pPr>
            <w:r>
              <w:rPr>
                <w:rFonts w:ascii="方正仿宋_GBK" w:eastAsia="方正仿宋_GBK" w:cs="方正仿宋_GBK" w:hint="eastAsia"/>
                <w:bCs/>
                <w:sz w:val="24"/>
                <w:szCs w:val="24"/>
              </w:rPr>
              <w:t>合同文本主要条款</w:t>
            </w:r>
          </w:p>
        </w:tc>
      </w:tr>
      <w:tr>
        <w:trPr>
          <w:trHeight w:val="454"/>
        </w:trPr>
        <w:tc>
          <w:tcPr>
            <w:tcW w:w="1091" w:type="dxa"/>
            <w:noWrap/>
            <w:vAlign w:val="center"/>
          </w:tcPr>
          <w:p>
            <w:pPr>
              <w:spacing w:line="520" w:lineRule="exact"/>
              <w:jc w:val="center"/>
              <w:rPr>
                <w:rFonts w:ascii="方正仿宋_GBK" w:eastAsia="方正仿宋_GBK" w:cs="方正仿宋_GBK"/>
                <w:bCs/>
                <w:sz w:val="24"/>
              </w:rPr>
            </w:pPr>
            <w:r>
              <w:rPr>
                <w:rFonts w:ascii="方正仿宋_GBK" w:eastAsia="方正仿宋_GBK" w:cs="方正仿宋_GBK" w:hint="eastAsia"/>
                <w:bCs/>
                <w:sz w:val="24"/>
              </w:rPr>
              <w:t>13</w:t>
            </w:r>
          </w:p>
        </w:tc>
        <w:tc>
          <w:tcPr>
            <w:tcW w:w="2438" w:type="dxa"/>
            <w:noWrap/>
            <w:vAlign w:val="center"/>
          </w:tcPr>
          <w:p>
            <w:pPr>
              <w:spacing w:line="520" w:lineRule="exact"/>
              <w:jc w:val="center"/>
              <w:rPr>
                <w:rFonts w:ascii="方正仿宋_GBK" w:eastAsia="方正仿宋_GBK" w:cs="方正仿宋_GBK"/>
                <w:bCs/>
                <w:sz w:val="24"/>
              </w:rPr>
            </w:pPr>
            <w:r>
              <w:rPr>
                <w:rFonts w:ascii="方正仿宋_GBK" w:eastAsia="方正仿宋_GBK" w:cs="方正仿宋_GBK" w:hint="eastAsia"/>
                <w:sz w:val="24"/>
              </w:rPr>
              <w:t>★</w:t>
            </w:r>
            <w:r>
              <w:rPr>
                <w:rFonts w:ascii="方正仿宋_GBK" w:eastAsia="方正仿宋_GBK" w:cs="方正仿宋_GBK" w:hint="eastAsia"/>
                <w:bCs/>
                <w:sz w:val="24"/>
              </w:rPr>
              <w:t>付款条件</w:t>
            </w:r>
          </w:p>
        </w:tc>
        <w:tc>
          <w:tcPr>
            <w:tcW w:w="6212" w:type="dxa"/>
            <w:noWrap/>
            <w:vAlign w:val="center"/>
          </w:tcPr>
          <w:p>
            <w:pPr>
              <w:pStyle w:val="3"/>
              <w:numPr>
                <w:ilvl w:val="0"/>
                <w:numId w:val="3"/>
              </w:numPr>
              <w:tabs>
                <w:tab w:val="clear" w:pos="312"/>
                <w:tab w:val="left" w:pos="588"/>
              </w:tabs>
              <w:spacing w:before="0" w:after="0" w:line="520" w:lineRule="exact"/>
              <w:rPr>
                <w:rFonts w:ascii="方正仿宋_GBK" w:eastAsia="方正仿宋_GBK" w:cs="方正仿宋_GBK"/>
                <w:b w:val="0"/>
                <w:bCs w:val="0"/>
                <w:sz w:val="24"/>
                <w:szCs w:val="24"/>
              </w:rPr>
            </w:pPr>
            <w:bookmarkStart w:id="6" w:name="_Toc12890611"/>
            <w:r>
              <w:rPr>
                <w:rFonts w:ascii="方正仿宋_GBK" w:eastAsia="方正仿宋_GBK" w:cs="方正仿宋_GBK" w:hint="eastAsia"/>
                <w:b w:val="0"/>
                <w:bCs w:val="0"/>
                <w:sz w:val="24"/>
                <w:szCs w:val="24"/>
              </w:rPr>
              <w:t>本合同以人民币结算。</w:t>
            </w:r>
            <w:bookmarkStart w:id="7" w:name="_Toc12890612"/>
            <w:bookmarkEnd w:id="6"/>
          </w:p>
          <w:p>
            <w:pPr>
              <w:pStyle w:val="3"/>
              <w:numPr>
                <w:ilvl w:val="0"/>
                <w:numId w:val="3"/>
              </w:numPr>
              <w:tabs>
                <w:tab w:val="clear" w:pos="312"/>
                <w:tab w:val="left" w:pos="588"/>
              </w:tabs>
              <w:spacing w:before="0" w:after="0" w:line="520" w:lineRule="exact"/>
              <w:rPr>
                <w:rFonts w:ascii="方正仿宋_GBK" w:eastAsia="方正仿宋_GBK" w:cs="方正仿宋_GBK"/>
                <w:b w:val="0"/>
                <w:bCs w:val="0"/>
                <w:sz w:val="24"/>
                <w:szCs w:val="24"/>
              </w:rPr>
            </w:pPr>
            <w:r>
              <w:rPr>
                <w:rFonts w:ascii="方正仿宋_GBK" w:eastAsia="方正仿宋_GBK" w:cs="方正仿宋_GBK" w:hint="eastAsia"/>
                <w:b w:val="0"/>
                <w:bCs w:val="0"/>
                <w:sz w:val="24"/>
                <w:szCs w:val="24"/>
              </w:rPr>
              <w:t>付款办法：</w:t>
            </w:r>
            <w:bookmarkEnd w:id="7"/>
          </w:p>
          <w:p>
            <w:pPr>
              <w:numPr>
                <w:ilvl w:val="0"/>
                <w:numId w:val="4"/>
              </w:numPr>
              <w:spacing w:line="520" w:lineRule="exact"/>
              <w:rPr>
                <w:rFonts w:ascii="方正仿宋_GBK" w:eastAsia="方正仿宋_GBK" w:cs="方正仿宋_GBK"/>
                <w:sz w:val="24"/>
              </w:rPr>
            </w:pPr>
            <w:bookmarkStart w:id="8" w:name="_Toc12890615"/>
            <w:r>
              <w:rPr>
                <w:rFonts w:ascii="方正仿宋_GBK" w:eastAsia="方正仿宋_GBK" w:cs="方正仿宋_GBK" w:hint="eastAsia"/>
                <w:sz w:val="24"/>
              </w:rPr>
              <w:t>结算方式：经采购人验收合格后，成交供应商提供增值税发票、付款申请书、验收报告，采购人向成交供应商支付合同总金额的100%。</w:t>
            </w:r>
          </w:p>
          <w:p>
            <w:pPr>
              <w:spacing w:line="520" w:lineRule="exact"/>
              <w:rPr>
                <w:rFonts w:ascii="方正仿宋_GBK" w:eastAsia="方正仿宋_GBK" w:cs="方正仿宋_GBK"/>
                <w:sz w:val="24"/>
              </w:rPr>
            </w:pPr>
            <w:r>
              <w:rPr>
                <w:rFonts w:ascii="方正仿宋_GBK" w:eastAsia="方正仿宋_GBK" w:cs="方正仿宋_GBK" w:hint="eastAsia"/>
                <w:sz w:val="24"/>
              </w:rPr>
              <w:t>（2）货款结算均以人民币（元）为单位。</w:t>
            </w:r>
          </w:p>
          <w:p>
            <w:pPr>
              <w:pStyle w:val="19"/>
              <w:spacing w:line="520" w:lineRule="exact"/>
              <w:rPr>
                <w:rFonts w:ascii="方正仿宋_GBK" w:eastAsia="方正仿宋_GBK" w:cs="方正仿宋_GBK"/>
                <w:sz w:val="24"/>
              </w:rPr>
            </w:pPr>
            <w:r>
              <w:rPr>
                <w:rFonts w:ascii="方正仿宋_GBK" w:eastAsia="方正仿宋_GBK" w:cs="方正仿宋_GBK" w:hint="eastAsia"/>
                <w:sz w:val="24"/>
              </w:rPr>
              <w:t>（3）因财政集中支付延误时间不计算在内，供应商提交付款单据迟延或缺失的，采购人有权相应顺延付款期限。</w:t>
            </w:r>
            <w:bookmarkEnd w:id="8"/>
          </w:p>
        </w:tc>
      </w:tr>
      <w:tr>
        <w:trPr>
          <w:trHeight w:val="454"/>
        </w:trPr>
        <w:tc>
          <w:tcPr>
            <w:tcW w:w="1091" w:type="dxa"/>
            <w:noWrap/>
            <w:vAlign w:val="center"/>
          </w:tcPr>
          <w:p>
            <w:pPr>
              <w:spacing w:line="520" w:lineRule="exact"/>
              <w:jc w:val="center"/>
              <w:rPr>
                <w:rFonts w:ascii="方正仿宋_GBK" w:eastAsia="方正仿宋_GBK" w:cs="方正仿宋_GBK"/>
                <w:sz w:val="24"/>
              </w:rPr>
            </w:pPr>
            <w:r>
              <w:rPr>
                <w:rFonts w:ascii="方正仿宋_GBK" w:eastAsia="方正仿宋_GBK" w:cs="方正仿宋_GBK" w:hint="eastAsia"/>
                <w:sz w:val="24"/>
              </w:rPr>
              <w:t>14</w:t>
            </w:r>
          </w:p>
        </w:tc>
        <w:tc>
          <w:tcPr>
            <w:tcW w:w="2438" w:type="dxa"/>
            <w:noWrap/>
            <w:vAlign w:val="center"/>
          </w:tcPr>
          <w:p>
            <w:pPr>
              <w:spacing w:line="520" w:lineRule="exact"/>
              <w:jc w:val="center"/>
              <w:rPr>
                <w:rFonts w:ascii="方正仿宋_GBK" w:eastAsia="方正仿宋_GBK" w:cs="方正仿宋_GBK"/>
                <w:sz w:val="24"/>
              </w:rPr>
            </w:pPr>
            <w:r>
              <w:rPr>
                <w:rFonts w:ascii="方正仿宋_GBK" w:eastAsia="方正仿宋_GBK" w:cs="方正仿宋_GBK" w:hint="eastAsia"/>
                <w:sz w:val="24"/>
              </w:rPr>
              <w:t>★是否允许转包、分包</w:t>
            </w:r>
          </w:p>
        </w:tc>
        <w:tc>
          <w:tcPr>
            <w:tcW w:w="6212" w:type="dxa"/>
            <w:noWrap/>
            <w:vAlign w:val="center"/>
          </w:tcPr>
          <w:p>
            <w:pPr>
              <w:pStyle w:val="19"/>
              <w:spacing w:line="520" w:lineRule="exact"/>
              <w:rPr>
                <w:rFonts w:ascii="方正仿宋_GBK" w:eastAsia="方正仿宋_GBK" w:cs="方正仿宋_GBK"/>
                <w:sz w:val="24"/>
              </w:rPr>
            </w:pPr>
            <w:r>
              <w:rPr>
                <w:rFonts w:ascii="方正仿宋_GBK" w:eastAsia="方正仿宋_GBK" w:cs="方正仿宋_GBK" w:hint="eastAsia"/>
                <w:sz w:val="24"/>
              </w:rPr>
              <w:t>本项目不允许转包。</w:t>
            </w:r>
          </w:p>
          <w:p>
            <w:pPr>
              <w:pStyle w:val="19"/>
              <w:spacing w:line="520" w:lineRule="exact"/>
              <w:rPr>
                <w:rFonts w:ascii="方正仿宋_GBK" w:eastAsia="方正仿宋_GBK" w:cs="方正仿宋_GBK"/>
                <w:sz w:val="24"/>
              </w:rPr>
            </w:pPr>
            <w:r>
              <w:rPr>
                <w:rFonts w:ascii="方正仿宋_GBK" w:eastAsia="方正仿宋_GBK" w:cs="方正仿宋_GBK" w:hint="eastAsia"/>
                <w:sz w:val="24"/>
              </w:rPr>
              <w:t>本项目未经允许不得分包。</w:t>
            </w:r>
          </w:p>
        </w:tc>
      </w:tr>
      <w:tr>
        <w:trPr>
          <w:trHeight w:val="454"/>
        </w:trPr>
        <w:tc>
          <w:tcPr>
            <w:tcW w:w="1091" w:type="dxa"/>
            <w:noWrap/>
            <w:vAlign w:val="center"/>
          </w:tcPr>
          <w:p>
            <w:pPr>
              <w:spacing w:line="520" w:lineRule="exact"/>
              <w:jc w:val="center"/>
              <w:rPr>
                <w:rFonts w:ascii="方正仿宋_GBK" w:eastAsia="方正仿宋_GBK" w:cs="方正仿宋_GBK"/>
                <w:sz w:val="24"/>
                <w:lang w:val="en-US" w:eastAsia="zh-CN"/>
              </w:rPr>
            </w:pPr>
            <w:r>
              <w:rPr>
                <w:rFonts w:ascii="方正仿宋_GBK" w:eastAsia="方正仿宋_GBK" w:cs="方正仿宋_GBK" w:hint="eastAsia"/>
                <w:sz w:val="24"/>
                <w:lang w:val="en-US" w:eastAsia="zh-CN"/>
              </w:rPr>
              <w:t>15</w:t>
            </w:r>
          </w:p>
        </w:tc>
        <w:tc>
          <w:tcPr>
            <w:tcW w:w="2438" w:type="dxa"/>
            <w:noWrap/>
            <w:vAlign w:val="center"/>
          </w:tcPr>
          <w:p>
            <w:pPr>
              <w:spacing w:line="520" w:lineRule="exact"/>
              <w:jc w:val="center"/>
              <w:rPr>
                <w:rFonts w:ascii="方正仿宋_GBK" w:eastAsia="方正仿宋_GBK" w:cs="方正仿宋_GBK" w:hint="eastAsia"/>
                <w:sz w:val="24"/>
              </w:rPr>
            </w:pPr>
            <w:r>
              <w:rPr>
                <w:rFonts w:ascii="方正仿宋_GBK" w:eastAsia="方正仿宋_GBK" w:cs="方正仿宋_GBK" w:hint="eastAsia"/>
                <w:sz w:val="24"/>
                <w:lang w:val="en-US" w:eastAsia="zh-CN"/>
              </w:rPr>
              <w:t>充分、公平竞争保障措施</w:t>
            </w:r>
          </w:p>
        </w:tc>
        <w:tc>
          <w:tcPr>
            <w:tcW w:w="6212" w:type="dxa"/>
            <w:noWrap/>
            <w:vAlign w:val="center"/>
          </w:tcPr>
          <w:p>
            <w:pPr>
              <w:keepNext w:val="0"/>
              <w:keepLines w:val="0"/>
              <w:widowControl w:val="0"/>
              <w:suppressLineNumbers w:val="0"/>
              <w:spacing w:before="0" w:beforeAutospacing="0" w:after="0" w:afterAutospacing="0" w:line="520" w:lineRule="exact"/>
              <w:ind w:left="0" w:right="0"/>
              <w:jc w:val="left"/>
              <w:rPr>
                <w:rFonts w:eastAsia="方正仿宋_GBK"/>
                <w:sz w:val="28"/>
                <w:szCs w:val="24"/>
                <w:lang w:val="en-US"/>
              </w:rPr>
            </w:pPr>
            <w:r>
              <w:rPr>
                <w:rFonts w:ascii="Times New Roman" w:eastAsia="方正仿宋_GBK" w:cs="方正仿宋_GBK" w:hAnsi="Times New Roman" w:hint="eastAsia"/>
                <w:b/>
                <w:bCs/>
                <w:kern w:val="2"/>
                <w:sz w:val="28"/>
                <w:szCs w:val="24"/>
                <w:lang w:val="en-US" w:eastAsia="zh-CN"/>
              </w:rPr>
              <w:t>提供相同品牌产品处理</w:t>
            </w:r>
            <w:r>
              <w:rPr>
                <w:rFonts w:ascii="Times New Roman" w:eastAsia="方正仿宋_GBK" w:cs="方正仿宋_GBK" w:hAnsi="Times New Roman" w:hint="eastAsia"/>
                <w:kern w:val="2"/>
                <w:sz w:val="28"/>
                <w:szCs w:val="24"/>
                <w:lang w:val="en-US" w:eastAsia="zh-CN"/>
              </w:rPr>
              <w:t>。提供相同厂家的且通过资格审查、符合性检查的不同供应商，按一家供应商计算，评审后报价最低的同品牌供应商获得供应商推荐资格；评审后报价相同的，以现场抽签方式确定同品牌供应商获得供应商推荐资格。</w:t>
            </w:r>
          </w:p>
          <w:p>
            <w:pPr>
              <w:keepNext w:val="0"/>
              <w:keepLines w:val="0"/>
              <w:widowControl/>
              <w:suppressLineNumbers w:val="0"/>
              <w:jc w:val="left"/>
            </w:pPr>
            <w:r>
              <w:rPr>
                <w:rFonts w:ascii="Times New Roman" w:eastAsia="方正仿宋_GBK" w:cs="Times New Roman" w:hAnsi="Times New Roman" w:hint="eastAsia"/>
                <w:kern w:val="2"/>
                <w:sz w:val="28"/>
                <w:szCs w:val="24"/>
                <w:lang w:val="en-US" w:eastAsia="zh-CN"/>
              </w:rPr>
              <w:t>非单一产品采购项目中，多家供应商提供的核心设备品牌相同的，视为提供相同品牌产品。</w:t>
            </w:r>
          </w:p>
          <w:p>
            <w:pPr>
              <w:pStyle w:val="19"/>
              <w:spacing w:line="520" w:lineRule="exact"/>
              <w:rPr>
                <w:rFonts w:ascii="方正仿宋_GBK" w:eastAsia="方正仿宋_GBK" w:cs="方正仿宋_GBK" w:hint="eastAsia"/>
                <w:sz w:val="24"/>
              </w:rPr>
            </w:pPr>
          </w:p>
        </w:tc>
      </w:tr>
      <w:tr>
        <w:trPr>
          <w:trHeight w:val="454"/>
        </w:trPr>
        <w:tc>
          <w:tcPr>
            <w:tcW w:w="1091" w:type="dxa"/>
            <w:noWrap/>
            <w:vAlign w:val="center"/>
          </w:tcPr>
          <w:p>
            <w:pPr>
              <w:spacing w:line="520" w:lineRule="exact"/>
              <w:jc w:val="center"/>
              <w:rPr>
                <w:rFonts w:ascii="方正仿宋_GBK" w:eastAsia="方正仿宋_GBK" w:cs="方正仿宋_GBK" w:hint="eastAsia"/>
                <w:sz w:val="24"/>
                <w:lang w:eastAsia="zh-CN"/>
              </w:rPr>
            </w:pPr>
            <w:r>
              <w:rPr>
                <w:rFonts w:ascii="方正仿宋_GBK" w:eastAsia="方正仿宋_GBK" w:cs="方正仿宋_GBK" w:hint="eastAsia"/>
                <w:sz w:val="24"/>
              </w:rPr>
              <w:t>1</w:t>
            </w:r>
            <w:r>
              <w:rPr>
                <w:rFonts w:ascii="方正仿宋_GBK" w:eastAsia="方正仿宋_GBK" w:cs="方正仿宋_GBK" w:hint="eastAsia"/>
                <w:sz w:val="24"/>
                <w:lang w:val="en-US" w:eastAsia="zh-CN"/>
              </w:rPr>
              <w:t>6</w:t>
            </w:r>
          </w:p>
        </w:tc>
        <w:tc>
          <w:tcPr>
            <w:tcW w:w="2438" w:type="dxa"/>
            <w:noWrap/>
            <w:vAlign w:val="center"/>
          </w:tcPr>
          <w:p>
            <w:pPr>
              <w:spacing w:line="520" w:lineRule="exact"/>
              <w:jc w:val="center"/>
              <w:rPr>
                <w:rFonts w:ascii="方正仿宋_GBK" w:eastAsia="方正仿宋_GBK" w:cs="方正仿宋_GBK"/>
                <w:sz w:val="24"/>
              </w:rPr>
            </w:pPr>
            <w:r>
              <w:rPr>
                <w:rFonts w:ascii="方正仿宋_GBK" w:eastAsia="方正仿宋_GBK" w:cs="方正仿宋_GBK" w:hint="eastAsia"/>
                <w:sz w:val="24"/>
              </w:rPr>
              <w:t>★</w:t>
            </w:r>
            <w:r>
              <w:rPr>
                <w:rFonts w:ascii="方正仿宋_GBK" w:eastAsia="方正仿宋_GBK" w:cs="方正仿宋_GBK" w:hint="eastAsia"/>
                <w:b/>
                <w:sz w:val="24"/>
              </w:rPr>
              <w:t>低于成本价不正当竞争预防措施（实质性要求）</w:t>
            </w:r>
          </w:p>
        </w:tc>
        <w:tc>
          <w:tcPr>
            <w:tcW w:w="6212" w:type="dxa"/>
            <w:noWrap/>
            <w:vAlign w:val="center"/>
          </w:tcPr>
          <w:p>
            <w:pPr>
              <w:spacing w:line="520" w:lineRule="exact"/>
              <w:jc w:val="left"/>
              <w:rPr>
                <w:rFonts w:ascii="方正仿宋_GBK" w:eastAsia="方正仿宋_GBK" w:cs="方正仿宋_GBK"/>
                <w:sz w:val="24"/>
              </w:rPr>
            </w:pPr>
            <w:r>
              <w:rPr>
                <w:rFonts w:ascii="方正仿宋_GBK" w:eastAsia="方正仿宋_GBK" w:cs="方正仿宋_GBK" w:hint="eastAsia"/>
                <w:sz w:val="24"/>
              </w:rPr>
              <w:t>在评审过程中，供应商报价低于最高限价50%或者其他有效供应商报价算术平均价40%，有可能影响服务质量或者不能诚信履约的，评审小组可以要求其在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pPr>
              <w:spacing w:line="520" w:lineRule="exact"/>
              <w:jc w:val="left"/>
              <w:rPr>
                <w:rFonts w:ascii="方正仿宋_GBK" w:eastAsia="方正仿宋_GBK" w:cs="方正仿宋_GBK"/>
                <w:sz w:val="24"/>
              </w:rPr>
            </w:pPr>
            <w:r>
              <w:rPr>
                <w:rFonts w:ascii="方正仿宋_GBK" w:eastAsia="方正仿宋_GBK" w:cs="方正仿宋_GBK" w:hint="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9"/>
              <w:spacing w:line="520" w:lineRule="exact"/>
              <w:rPr>
                <w:rFonts w:ascii="方正仿宋_GBK" w:eastAsia="方正仿宋_GBK" w:cs="方正仿宋_GBK"/>
                <w:bCs/>
                <w:kern w:val="0"/>
                <w:sz w:val="24"/>
              </w:rPr>
            </w:pPr>
            <w:r>
              <w:rPr>
                <w:rFonts w:ascii="方正仿宋_GBK" w:eastAsia="方正仿宋_GBK" w:cs="方正仿宋_GBK" w:hint="eastAsia"/>
                <w:sz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投标文件作为无效处理。</w:t>
            </w:r>
          </w:p>
        </w:tc>
      </w:tr>
    </w:tbl>
    <w:p>
      <w:pPr>
        <w:tabs>
          <w:tab w:val="left" w:pos="1159"/>
        </w:tabs>
        <w:spacing w:line="520" w:lineRule="exact"/>
        <w:rPr>
          <w:rFonts w:ascii="宋体" w:eastAsia="宋体"/>
          <w:sz w:val="24"/>
        </w:rPr>
      </w:pPr>
      <w:bookmarkEnd w:id="3"/>
      <w:bookmarkEnd w:id="4"/>
      <w:r>
        <w:rPr>
          <w:rFonts w:ascii="宋体" w:eastAsia="宋体"/>
          <w:sz w:val="24"/>
        </w:rPr>
        <w:tab/>
      </w:r>
      <w:bookmarkStart w:id="9" w:name="_Toc184043014"/>
      <w:bookmarkStart w:id="10" w:name="_Toc249515280"/>
      <w:bookmarkStart w:id="11" w:name="_Toc249515392"/>
      <w:bookmarkStart w:id="12" w:name="_Toc12890616"/>
      <w:bookmarkStart w:id="13" w:name="_Toc249525161"/>
      <w:bookmarkStart w:id="14" w:name="_Toc56534766"/>
      <w:bookmarkStart w:id="15" w:name="_Toc506106429"/>
      <w:bookmarkStart w:id="16" w:name="_Toc506278873"/>
      <w:bookmarkStart w:id="17" w:name="_Toc499748257"/>
      <w:bookmarkStart w:id="18" w:name="_Toc499747784"/>
      <w:bookmarkStart w:id="19" w:name="_Toc499747751"/>
    </w:p>
    <w:p>
      <w:pPr>
        <w:pStyle w:val="17"/>
        <w:numPr>
          <w:ilvl w:val="0"/>
          <w:numId w:val="0"/>
        </w:numPr>
        <w:spacing w:line="520" w:lineRule="exact"/>
        <w:jc w:val="center"/>
        <w:rPr>
          <w:rFonts w:ascii="方正小标宋_GBK" w:eastAsia="方正小标宋_GBK" w:cs="方正小标宋_GBK"/>
          <w:bCs/>
          <w:color w:val="000000"/>
          <w:sz w:val="24"/>
        </w:rPr>
      </w:pPr>
      <w:bookmarkEnd w:id="9"/>
      <w:bookmarkEnd w:id="10"/>
      <w:bookmarkEnd w:id="11"/>
      <w:bookmarkEnd w:id="12"/>
      <w:bookmarkEnd w:id="13"/>
      <w:bookmarkEnd w:id="14"/>
      <w:r>
        <w:rPr>
          <w:rFonts w:ascii="方正小标宋_GBK" w:eastAsia="方正小标宋_GBK" w:cs="方正小标宋_GBK" w:hint="eastAsia"/>
          <w:bCs/>
          <w:color w:val="000000"/>
          <w:sz w:val="24"/>
        </w:rPr>
        <w:t>一、总则</w:t>
      </w:r>
    </w:p>
    <w:p>
      <w:pPr>
        <w:spacing w:line="520" w:lineRule="exact"/>
        <w:ind w:firstLineChars="200" w:firstLine="480"/>
        <w:rPr>
          <w:rFonts w:ascii="方正小标宋_GBK" w:eastAsia="方正小标宋_GBK" w:cs="方正小标宋_GBK"/>
          <w:color w:val="000000"/>
          <w:sz w:val="24"/>
        </w:rPr>
      </w:pPr>
      <w:r>
        <w:rPr>
          <w:rFonts w:ascii="方正小标宋_GBK" w:eastAsia="方正小标宋_GBK" w:cs="方正小标宋_GBK" w:hint="eastAsia"/>
          <w:color w:val="000000"/>
          <w:sz w:val="24"/>
        </w:rPr>
        <w:t>1.项目说明</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1.1 项目说明见“供应商须知前附表”。</w:t>
      </w:r>
    </w:p>
    <w:p>
      <w:pPr>
        <w:spacing w:line="520" w:lineRule="exact"/>
        <w:ind w:firstLineChars="200" w:firstLine="480"/>
        <w:rPr>
          <w:rFonts w:ascii="方正小标宋_GBK" w:eastAsia="方正小标宋_GBK" w:cs="方正小标宋_GBK"/>
          <w:color w:val="000000"/>
          <w:sz w:val="24"/>
        </w:rPr>
      </w:pPr>
      <w:r>
        <w:rPr>
          <w:rFonts w:ascii="方正小标宋_GBK" w:eastAsia="方正小标宋_GBK" w:cs="方正小标宋_GBK" w:hint="eastAsia"/>
          <w:color w:val="000000"/>
          <w:sz w:val="24"/>
        </w:rPr>
        <w:t>2. 定义</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2.1 “采购人”系指重庆国际旅行卫生保健中心（重庆海关口岸门诊部）。</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 xml:space="preserve">2.2 “供应商”系指响应采购人要求，向采购人提交响应文件的参与竞争的企业法人、非企业法人的其他组织或者自然人。 </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2.3  “★”标志的为实质性条款，如有其中一项不符合即被视为非实质性响应予以拒绝。</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2.4 “中小企业”系指满足《政府采购促进中小企业发展管理办法》（财库〔2020〕46号）第二条规定的企业。</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2.5 “监狱企业”系指《财政部、司法部关于政府采购支持监狱企业发展有关问题的通知》（财库〔2014〕68号）第一条规定的企业。</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2.6 “残疾人福利性单位” 系指满足《财政部、民政部中国残疾人联合会关于促进残疾人就业政府采购政策的通知》（财库【2017】141号）第一条规定的单位。</w:t>
      </w:r>
    </w:p>
    <w:p>
      <w:pPr>
        <w:spacing w:line="520" w:lineRule="exact"/>
        <w:ind w:firstLineChars="200" w:firstLine="480"/>
        <w:rPr>
          <w:rFonts w:ascii="方正小标宋_GBK" w:eastAsia="方正小标宋_GBK" w:cs="方正小标宋_GBK"/>
          <w:color w:val="000000"/>
          <w:sz w:val="24"/>
        </w:rPr>
      </w:pPr>
      <w:bookmarkStart w:id="20" w:name="_Toc249515394"/>
      <w:bookmarkStart w:id="21" w:name="_Toc389620168"/>
      <w:bookmarkStart w:id="22" w:name="_Toc249525163"/>
      <w:bookmarkStart w:id="23" w:name="_Toc385992329"/>
      <w:bookmarkStart w:id="24" w:name="_Toc184043016"/>
      <w:bookmarkStart w:id="25" w:name="_Toc70687143"/>
      <w:bookmarkStart w:id="26" w:name="_Toc56534768"/>
      <w:bookmarkStart w:id="27" w:name="_Toc249515282"/>
      <w:r>
        <w:rPr>
          <w:rFonts w:ascii="方正小标宋_GBK" w:eastAsia="方正小标宋_GBK" w:cs="方正小标宋_GBK" w:hint="eastAsia"/>
          <w:color w:val="000000"/>
          <w:sz w:val="24"/>
        </w:rPr>
        <w:t>3. 合格的</w:t>
      </w:r>
      <w:bookmarkEnd w:id="20"/>
      <w:bookmarkEnd w:id="21"/>
      <w:bookmarkEnd w:id="22"/>
      <w:bookmarkEnd w:id="23"/>
      <w:bookmarkEnd w:id="24"/>
      <w:bookmarkEnd w:id="25"/>
      <w:bookmarkEnd w:id="26"/>
      <w:bookmarkEnd w:id="27"/>
      <w:r>
        <w:rPr>
          <w:rFonts w:ascii="方正小标宋_GBK" w:eastAsia="方正小标宋_GBK" w:cs="方正小标宋_GBK" w:hint="eastAsia"/>
          <w:color w:val="000000"/>
          <w:sz w:val="24"/>
        </w:rPr>
        <w:t>供应商</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3.1 供应商基本资质要求详见本项目供应商须知前附表。</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3.2 供应商应遵守《中华人民共和国政府采购法》及其他有关的中国法律和法规。</w:t>
      </w:r>
    </w:p>
    <w:p>
      <w:pPr>
        <w:spacing w:line="520" w:lineRule="exact"/>
        <w:ind w:firstLineChars="200" w:firstLine="480"/>
        <w:rPr>
          <w:rFonts w:ascii="方正小标宋_GBK" w:eastAsia="方正小标宋_GBK" w:cs="方正小标宋_GBK"/>
          <w:color w:val="000000"/>
          <w:sz w:val="24"/>
        </w:rPr>
      </w:pPr>
      <w:bookmarkStart w:id="28" w:name="_Toc184043017"/>
      <w:bookmarkStart w:id="29" w:name="_Toc249525164"/>
      <w:bookmarkStart w:id="30" w:name="_Toc70687144"/>
      <w:bookmarkStart w:id="31" w:name="_Toc56534769"/>
      <w:bookmarkStart w:id="32" w:name="_Toc249515395"/>
      <w:bookmarkStart w:id="33" w:name="_Toc389620169"/>
      <w:bookmarkStart w:id="34" w:name="_Toc385992330"/>
      <w:bookmarkStart w:id="35" w:name="_Toc249515283"/>
      <w:r>
        <w:rPr>
          <w:rFonts w:ascii="方正小标宋_GBK" w:eastAsia="方正小标宋_GBK" w:cs="方正小标宋_GBK" w:hint="eastAsia"/>
          <w:color w:val="000000"/>
          <w:sz w:val="24"/>
        </w:rPr>
        <w:t>4. 响应费用</w:t>
      </w:r>
      <w:bookmarkEnd w:id="28"/>
      <w:bookmarkEnd w:id="29"/>
      <w:bookmarkEnd w:id="30"/>
      <w:bookmarkEnd w:id="31"/>
      <w:bookmarkEnd w:id="32"/>
      <w:bookmarkEnd w:id="33"/>
      <w:bookmarkEnd w:id="34"/>
      <w:bookmarkEnd w:id="35"/>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4.1供应商应承担所有与编写和提交响应文件有关的费用，无论响应过程和结果如何，采购人在任何情况下均无义务和责任承担这些费用。</w:t>
      </w:r>
    </w:p>
    <w:p>
      <w:pPr>
        <w:spacing w:line="520" w:lineRule="exact"/>
        <w:ind w:firstLine="482"/>
        <w:jc w:val="center"/>
        <w:rPr>
          <w:rFonts w:ascii="方正小标宋_GBK" w:eastAsia="方正小标宋_GBK" w:cs="方正小标宋_GBK"/>
          <w:color w:val="000000"/>
          <w:sz w:val="24"/>
        </w:rPr>
      </w:pPr>
      <w:r>
        <w:rPr>
          <w:rFonts w:ascii="方正小标宋_GBK" w:eastAsia="方正小标宋_GBK" w:cs="方正小标宋_GBK" w:hint="eastAsia"/>
          <w:color w:val="000000"/>
          <w:sz w:val="24"/>
        </w:rPr>
        <w:t>二、比选文件说明</w:t>
      </w:r>
    </w:p>
    <w:p>
      <w:pPr>
        <w:spacing w:line="520" w:lineRule="exact"/>
        <w:ind w:firstLineChars="200" w:firstLine="480"/>
        <w:rPr>
          <w:rFonts w:ascii="方正小标宋_GBK" w:eastAsia="方正小标宋_GBK" w:cs="方正小标宋_GBK"/>
          <w:color w:val="000000"/>
          <w:sz w:val="24"/>
        </w:rPr>
      </w:pPr>
      <w:r>
        <w:rPr>
          <w:rFonts w:ascii="方正小标宋_GBK" w:eastAsia="方正小标宋_GBK" w:cs="方正小标宋_GBK" w:hint="eastAsia"/>
          <w:color w:val="000000"/>
          <w:sz w:val="24"/>
        </w:rPr>
        <w:t>5.</w:t>
        <w:tab/>
        <w:t>通知</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5.1 对与本项目有关的通知，采购人将在重庆海关互联网官方网站（http://chongqing.customs.gov.cn）发布，无论供应商下载与否，采购人都视为供应商已收到以上资料并全部知晓有关比选采购过程和事宜，由此产生的一切后果由供应商自负。</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5.2</w:t>
        <w:tab/>
        <w:t>供应商应认真阅读比选文件中所有的事项、格式条款和规范要求等。供应商须知晓因未对比选文件做出全面的实质性响应所带来的一切风险。采购人有权拒绝没有对比选文件要求作出实质性响应的报价。</w:t>
      </w:r>
    </w:p>
    <w:p>
      <w:pPr>
        <w:spacing w:line="520" w:lineRule="exact"/>
        <w:ind w:firstLineChars="200" w:firstLine="480"/>
        <w:rPr>
          <w:rFonts w:ascii="方正小标宋_GBK" w:eastAsia="方正小标宋_GBK" w:cs="方正小标宋_GBK"/>
          <w:color w:val="000000"/>
          <w:sz w:val="24"/>
        </w:rPr>
      </w:pPr>
      <w:r>
        <w:rPr>
          <w:rFonts w:ascii="方正小标宋_GBK" w:eastAsia="方正小标宋_GBK" w:cs="方正小标宋_GBK" w:hint="eastAsia"/>
          <w:color w:val="000000"/>
          <w:sz w:val="24"/>
        </w:rPr>
        <w:t>6.比选文件的构成</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6.1 比选文件用以阐明供应商所需提供的货物/服务以及其他类似的义务、比选程序和合同条款。比选文件包括如下六部分内容：</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第一章</w:t>
        <w:tab/>
        <w:t>比选公告</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第二章</w:t>
        <w:tab/>
        <w:t>比选须知</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第三章</w:t>
        <w:tab/>
        <w:t>比选方法</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第四章</w:t>
        <w:tab/>
        <w:t>合同条款（样本）</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第五章</w:t>
        <w:tab/>
        <w:t>项目需求</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第六章</w:t>
        <w:tab/>
        <w:t>响应文件格式</w:t>
      </w:r>
    </w:p>
    <w:p>
      <w:pPr>
        <w:spacing w:line="520" w:lineRule="exact"/>
        <w:ind w:firstLineChars="200" w:firstLine="480"/>
        <w:rPr>
          <w:rFonts w:ascii="方正小标宋_GBK" w:eastAsia="方正小标宋_GBK" w:cs="方正小标宋_GBK"/>
          <w:color w:val="000000"/>
          <w:sz w:val="24"/>
        </w:rPr>
      </w:pPr>
      <w:r>
        <w:rPr>
          <w:rFonts w:ascii="方正小标宋_GBK" w:eastAsia="方正小标宋_GBK" w:cs="方正小标宋_GBK" w:hint="eastAsia"/>
          <w:color w:val="000000"/>
          <w:sz w:val="24"/>
        </w:rPr>
        <w:t>7.比选文件的澄清和修改</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7.1</w:t>
        <w:tab/>
        <w:t>询问：任何已从采购人规定的渠道获取了比选文件的潜在供应，在发现比选文件存在混淆或错乱等问题时，可以在获取比选文件之日起三个工作日内以电话、电子邮件等方式向采购人提出询问，采购人将在收到询问后的一个工作日内以提出询问的同样方式予以答复，询问不能作为投诉的前提。如果潜在供应商认为比选文件的部分设置使自己的权益受到损害，请按本须知规定提出质疑。</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7.2</w:t>
        <w:tab/>
        <w:t>澄清和修改：</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7.2.1 比选文件发出后，采购人有权对比选文件进行澄清和修改，澄清或修改内文件为比选文件的组成部分，对所有获取了比选文件的潜在供应商均具有约束力。</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7.2.2 对比选文件的澄清和修改，将在本次比选公告的媒体上发布变更公告。</w:t>
      </w:r>
    </w:p>
    <w:p>
      <w:pPr>
        <w:pStyle w:val="66"/>
        <w:widowControl w:val="0"/>
        <w:tabs>
          <w:tab w:val="left" w:pos="360"/>
          <w:tab w:val="left" w:pos="588"/>
        </w:tabs>
        <w:spacing w:before="0" w:beforeAutospacing="0" w:after="0" w:afterAutospacing="0" w:line="520" w:lineRule="exact"/>
        <w:ind w:firstLineChars="200" w:firstLine="480"/>
        <w:textAlignment w:val="auto"/>
        <w:rPr>
          <w:rFonts w:ascii="方正仿宋_GBK" w:eastAsia="方正仿宋_GBK" w:cs="方正仿宋_GBK"/>
          <w:color w:val="000000"/>
          <w:kern w:val="24"/>
          <w:szCs w:val="21"/>
        </w:rPr>
      </w:pPr>
      <w:r>
        <w:rPr>
          <w:rFonts w:ascii="方正仿宋_GBK" w:eastAsia="方正仿宋_GBK" w:cs="方正仿宋_GBK" w:hint="eastAsia"/>
          <w:color w:val="000000"/>
          <w:kern w:val="24"/>
          <w:szCs w:val="21"/>
        </w:rPr>
        <w:t>7.2.3 如果澄清或修改内容可能影响响应文件编制的，澄清或修改文件将在比选截止时间至少三日前发出，不足上述时间的，采购人将会顺延提交比选文件的截止时间。比选截止时间变更在提交响应文件截止时间三日前在本次比选公告的媒体上发布变更公告。并通知所有从采购人规定的渠道获取了比选文件的潜在商，采购人和供应商的权利及义务将受到新的截止期的约束。</w:t>
      </w:r>
    </w:p>
    <w:p>
      <w:pPr>
        <w:spacing w:line="520" w:lineRule="exact"/>
        <w:ind w:firstLineChars="196" w:firstLine="470"/>
        <w:jc w:val="center"/>
        <w:rPr>
          <w:rFonts w:ascii="方正小标宋_GBK" w:eastAsia="方正小标宋_GBK" w:cs="方正小标宋_GBK"/>
          <w:color w:val="000000"/>
          <w:sz w:val="24"/>
        </w:rPr>
      </w:pPr>
      <w:r>
        <w:rPr>
          <w:rFonts w:ascii="方正小标宋_GBK" w:eastAsia="方正小标宋_GBK" w:cs="方正小标宋_GBK" w:hint="eastAsia"/>
          <w:color w:val="000000"/>
          <w:sz w:val="24"/>
        </w:rPr>
        <w:t>三、响应文件的编写</w:t>
      </w:r>
    </w:p>
    <w:p>
      <w:pPr>
        <w:spacing w:line="520" w:lineRule="exact"/>
        <w:ind w:firstLineChars="196" w:firstLine="470"/>
        <w:rPr>
          <w:rFonts w:ascii="方正小标宋_GBK" w:eastAsia="方正小标宋_GBK" w:cs="方正小标宋_GBK"/>
          <w:color w:val="000000"/>
          <w:sz w:val="24"/>
        </w:rPr>
      </w:pPr>
      <w:r>
        <w:rPr>
          <w:rFonts w:ascii="方正小标宋_GBK" w:eastAsia="方正小标宋_GBK" w:cs="方正小标宋_GBK" w:hint="eastAsia"/>
          <w:color w:val="000000"/>
          <w:sz w:val="24"/>
        </w:rPr>
        <w:t>8.响应文件组成</w:t>
      </w:r>
    </w:p>
    <w:p>
      <w:pPr>
        <w:spacing w:line="520" w:lineRule="exact"/>
        <w:ind w:firstLineChars="196" w:firstLine="470"/>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8.1 响应文件及与响应相关的所有文件均应以中文书写。</w:t>
      </w:r>
    </w:p>
    <w:p>
      <w:pPr>
        <w:spacing w:line="520" w:lineRule="exact"/>
        <w:ind w:firstLineChars="196" w:firstLine="470"/>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8.2除在比选文件的技术规格中另有规定外，计量单位应使用中华人民共和国法定计量单位</w:t>
      </w:r>
    </w:p>
    <w:p>
      <w:pPr>
        <w:spacing w:line="520" w:lineRule="exact"/>
        <w:ind w:firstLineChars="196" w:firstLine="470"/>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8.3响应文件应包括但不限于：</w:t>
      </w:r>
    </w:p>
    <w:p>
      <w:pPr>
        <w:spacing w:line="520" w:lineRule="exact"/>
        <w:ind w:firstLineChars="196" w:firstLine="470"/>
        <w:rPr>
          <w:rFonts w:ascii="方正小标宋_GBK" w:eastAsia="方正小标宋_GBK" w:cs="方正小标宋_GBK"/>
          <w:color w:val="000000"/>
          <w:sz w:val="24"/>
        </w:rPr>
      </w:pPr>
      <w:r>
        <w:rPr>
          <w:rFonts w:ascii="方正小标宋_GBK" w:eastAsia="方正小标宋_GBK" w:cs="方正小标宋_GBK" w:hint="eastAsia"/>
          <w:color w:val="000000"/>
          <w:sz w:val="24"/>
        </w:rPr>
        <w:t>★第一类文件：资格审核材料</w:t>
      </w:r>
    </w:p>
    <w:p>
      <w:pPr>
        <w:pStyle w:val="21"/>
        <w:spacing w:line="520" w:lineRule="exact"/>
        <w:ind w:leftChars="285" w:left="599"/>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按要求据实填写《供应商资格审查一览表》</w:t>
      </w:r>
    </w:p>
    <w:p>
      <w:pPr>
        <w:spacing w:line="520" w:lineRule="exact"/>
        <w:ind w:firstLineChars="196" w:firstLine="470"/>
        <w:rPr>
          <w:rFonts w:ascii="方正小标宋_GBK" w:eastAsia="方正小标宋_GBK" w:cs="方正小标宋_GBK"/>
          <w:color w:val="000000"/>
          <w:sz w:val="24"/>
        </w:rPr>
      </w:pPr>
      <w:r>
        <w:rPr>
          <w:rFonts w:ascii="方正小标宋_GBK" w:eastAsia="方正小标宋_GBK" w:cs="方正小标宋_GBK" w:hint="eastAsia"/>
          <w:color w:val="000000"/>
          <w:sz w:val="24"/>
        </w:rPr>
        <w:t>第二类文件：评审证明材料</w:t>
      </w:r>
    </w:p>
    <w:p>
      <w:pPr>
        <w:pStyle w:val="21"/>
        <w:spacing w:line="520" w:lineRule="exact"/>
        <w:ind w:leftChars="285" w:left="599"/>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★（一）基本文件</w:t>
      </w:r>
    </w:p>
    <w:p>
      <w:pPr>
        <w:pStyle w:val="21"/>
        <w:spacing w:line="520" w:lineRule="exact"/>
        <w:ind w:leftChars="285" w:left="599"/>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（1）应答函，格式见附件；</w:t>
      </w:r>
    </w:p>
    <w:p>
      <w:pPr>
        <w:pStyle w:val="21"/>
        <w:spacing w:line="520" w:lineRule="exact"/>
        <w:ind w:leftChars="285" w:left="599"/>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（2）报价一览表，格式见附件；</w:t>
      </w:r>
    </w:p>
    <w:p>
      <w:pPr>
        <w:pStyle w:val="21"/>
        <w:spacing w:line="520" w:lineRule="exact"/>
        <w:ind w:leftChars="285" w:left="599"/>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（3）法定代表人授权书（法定代表人作为供应商代表直接应答的，只提供相关身份证明即可），格式见附件。</w:t>
      </w:r>
    </w:p>
    <w:p>
      <w:pPr>
        <w:pStyle w:val="21"/>
        <w:spacing w:line="520" w:lineRule="exact"/>
        <w:ind w:leftChars="285" w:left="599"/>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（二）商务资格证明文件</w:t>
      </w:r>
    </w:p>
    <w:p>
      <w:pPr>
        <w:pStyle w:val="21"/>
        <w:spacing w:line="520" w:lineRule="exact"/>
        <w:ind w:leftChars="285" w:left="599"/>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1）当供应商为中小企业时，须提供《中小企业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pPr>
        <w:pStyle w:val="21"/>
        <w:spacing w:line="520" w:lineRule="exact"/>
        <w:ind w:leftChars="285" w:left="599"/>
        <w:rPr>
          <w:rFonts w:ascii="方正仿宋_GBK" w:eastAsia="方正仿宋_GBK" w:cs="方正仿宋_GBK"/>
          <w:color w:val="000000"/>
          <w:kern w:val="24"/>
          <w:sz w:val="24"/>
          <w:szCs w:val="21"/>
        </w:rPr>
      </w:pPr>
      <w:r>
        <w:rPr>
          <w:rFonts w:ascii="方正仿宋_GBK" w:eastAsia="方正仿宋_GBK" w:cs="方正仿宋_GBK" w:hint="eastAsia"/>
          <w:color w:val="000000"/>
          <w:kern w:val="24"/>
          <w:sz w:val="24"/>
          <w:szCs w:val="21"/>
        </w:rPr>
        <w:t>（2）其他各项证明材料。</w:t>
      </w:r>
    </w:p>
    <w:p>
      <w:pPr>
        <w:tabs>
          <w:tab w:val="left" w:pos="588"/>
        </w:tabs>
        <w:spacing w:line="520" w:lineRule="exact"/>
        <w:ind w:firstLine="482"/>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重要提示：</w:t>
      </w:r>
    </w:p>
    <w:p>
      <w:pPr>
        <w:tabs>
          <w:tab w:val="left" w:pos="588"/>
        </w:tabs>
        <w:spacing w:line="520" w:lineRule="exact"/>
        <w:ind w:firstLineChars="196" w:firstLine="470"/>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1、供应商提供的以上材料必须真实有效，任何一项的虚假将导致无效应答，如发现提供虚假材料者，将按政府采购法律有关规定对当事人进行处罚。</w:t>
      </w:r>
    </w:p>
    <w:p>
      <w:pPr>
        <w:tabs>
          <w:tab w:val="left" w:pos="588"/>
        </w:tabs>
        <w:spacing w:line="520" w:lineRule="exact"/>
        <w:ind w:firstLineChars="196" w:firstLine="470"/>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2、上述文件中，所有带“★”的证明材料原件或复印件必须逐项加盖供应商公章，任何一项签章不完整都会导致无效应答。</w:t>
      </w:r>
    </w:p>
    <w:p>
      <w:pPr>
        <w:tabs>
          <w:tab w:val="left" w:pos="588"/>
        </w:tabs>
        <w:spacing w:line="520" w:lineRule="exact"/>
        <w:ind w:firstLineChars="196" w:firstLine="470"/>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 xml:space="preserve">9. </w:t>
      </w:r>
      <w:bookmarkStart w:id="36" w:name="_Toc70687153"/>
      <w:bookmarkStart w:id="37" w:name="_Toc184043026"/>
      <w:bookmarkStart w:id="38" w:name="_Toc249515292"/>
      <w:bookmarkStart w:id="39" w:name="_Toc249515404"/>
      <w:bookmarkStart w:id="40" w:name="_Toc385992339"/>
      <w:bookmarkStart w:id="41" w:name="_Toc249525173"/>
      <w:bookmarkStart w:id="42" w:name="_Toc389620178"/>
      <w:bookmarkStart w:id="43" w:name="_Toc56534776"/>
      <w:r>
        <w:rPr>
          <w:rFonts w:ascii="方正小标宋_GBK" w:eastAsia="方正小标宋_GBK" w:cs="方正小标宋_GBK" w:hint="eastAsia"/>
          <w:bCs/>
          <w:color w:val="000000"/>
          <w:kern w:val="0"/>
          <w:sz w:val="24"/>
        </w:rPr>
        <w:t>响应文件格式</w:t>
      </w:r>
      <w:bookmarkEnd w:id="36"/>
      <w:bookmarkEnd w:id="37"/>
      <w:bookmarkEnd w:id="38"/>
      <w:bookmarkEnd w:id="39"/>
      <w:bookmarkEnd w:id="40"/>
      <w:bookmarkEnd w:id="41"/>
      <w:bookmarkEnd w:id="42"/>
      <w:bookmarkEnd w:id="43"/>
    </w:p>
    <w:p>
      <w:pPr>
        <w:spacing w:line="520" w:lineRule="exact"/>
        <w:ind w:firstLineChars="200" w:firstLine="480"/>
        <w:rPr>
          <w:rFonts w:ascii="方正仿宋_GBK" w:eastAsia="方正仿宋_GBK" w:cs="方正仿宋_GBK"/>
          <w:color w:val="000000"/>
          <w:kern w:val="24"/>
          <w:sz w:val="24"/>
        </w:rPr>
      </w:pPr>
      <w:r>
        <w:rPr>
          <w:rFonts w:ascii="方正仿宋_GBK" w:eastAsia="方正仿宋_GBK" w:cs="方正仿宋_GBK" w:hint="eastAsia"/>
          <w:color w:val="000000"/>
          <w:kern w:val="24"/>
          <w:sz w:val="24"/>
        </w:rPr>
        <w:t>对于比选文件第六章中已经提供了格式的响应文件内容，供应商必须按提供的响应文件格式进行填写和编制。没有提供格式的可自行设计。</w:t>
      </w:r>
    </w:p>
    <w:p>
      <w:pPr>
        <w:tabs>
          <w:tab w:val="left" w:pos="588"/>
        </w:tabs>
        <w:spacing w:line="520" w:lineRule="exact"/>
        <w:ind w:firstLineChars="196" w:firstLine="470"/>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10. 比选报价</w:t>
      </w:r>
    </w:p>
    <w:p>
      <w:pPr>
        <w:spacing w:line="520" w:lineRule="exact"/>
        <w:ind w:firstLineChars="200" w:firstLine="480"/>
        <w:rPr>
          <w:rFonts w:ascii="方正仿宋_GBK" w:eastAsia="方正仿宋_GBK" w:cs="方正仿宋_GBK"/>
          <w:color w:val="000000"/>
          <w:kern w:val="24"/>
          <w:sz w:val="24"/>
        </w:rPr>
      </w:pPr>
      <w:r>
        <w:rPr>
          <w:rFonts w:ascii="方正仿宋_GBK" w:eastAsia="方正仿宋_GBK" w:cs="方正仿宋_GBK" w:hint="eastAsia"/>
          <w:color w:val="000000"/>
          <w:kern w:val="24"/>
          <w:sz w:val="24"/>
        </w:rPr>
        <w:t>10.1 其中报价包括</w:t>
      </w:r>
      <w:r>
        <w:rPr>
          <w:rFonts w:ascii="方正仿宋_GBK" w:eastAsia="方正仿宋_GBK" w:cs="方正仿宋_GBK" w:hint="eastAsia"/>
          <w:sz w:val="24"/>
        </w:rPr>
        <w:t>报价包括产品价、安装调试费、人工费（含二次加工费等）、差旅费、保险费</w:t>
      </w:r>
      <w:r>
        <w:rPr>
          <w:rFonts w:ascii="方正仿宋_GBK" w:eastAsia="方正仿宋_GBK" w:cs="方正仿宋_GBK" w:hint="eastAsia"/>
          <w:color w:val="000000"/>
          <w:kern w:val="24"/>
          <w:sz w:val="24"/>
        </w:rPr>
        <w:t>以及比选文件明示或暗示的风险、责任和义务等），以及管理费、利润和税金等全部费用。</w:t>
      </w:r>
    </w:p>
    <w:p>
      <w:pPr>
        <w:spacing w:line="520" w:lineRule="exact"/>
        <w:ind w:firstLineChars="200" w:firstLine="480"/>
        <w:rPr>
          <w:rFonts w:ascii="方正仿宋_GBK" w:eastAsia="方正仿宋_GBK" w:cs="方正仿宋_GBK"/>
          <w:color w:val="000000"/>
          <w:kern w:val="24"/>
          <w:sz w:val="24"/>
        </w:rPr>
      </w:pPr>
      <w:r>
        <w:rPr>
          <w:rFonts w:ascii="方正仿宋_GBK" w:eastAsia="方正仿宋_GBK" w:cs="方正仿宋_GBK" w:hint="eastAsia"/>
          <w:color w:val="000000"/>
          <w:kern w:val="24"/>
          <w:sz w:val="24"/>
        </w:rPr>
        <w:t>10.2本项目实行“一次提交”，响应文件所提交的相关情况、服务承诺、报价即为提交的最终内容。</w:t>
      </w:r>
    </w:p>
    <w:p>
      <w:pPr>
        <w:spacing w:line="520" w:lineRule="exact"/>
        <w:ind w:firstLineChars="200" w:firstLine="480"/>
        <w:rPr>
          <w:rFonts w:ascii="方正仿宋_GBK" w:eastAsia="方正仿宋_GBK" w:cs="方正仿宋_GBK"/>
          <w:color w:val="000000"/>
          <w:kern w:val="24"/>
          <w:sz w:val="24"/>
        </w:rPr>
      </w:pPr>
      <w:r>
        <w:rPr>
          <w:rFonts w:ascii="方正仿宋_GBK" w:eastAsia="方正仿宋_GBK" w:cs="方正仿宋_GBK" w:hint="eastAsia"/>
          <w:color w:val="000000"/>
          <w:kern w:val="24"/>
          <w:sz w:val="24"/>
        </w:rPr>
        <w:t>10.3供应商的报价在合同执行过程中是固定不变的，未经采购人许可不得以任何理由予以变更。以可调整的价格提交的响应文件将作为非实质性响应而予以拒绝。</w:t>
      </w:r>
    </w:p>
    <w:p>
      <w:pPr>
        <w:spacing w:line="520" w:lineRule="exact"/>
        <w:ind w:firstLineChars="200" w:firstLine="480"/>
        <w:rPr>
          <w:rFonts w:ascii="方正仿宋_GBK" w:eastAsia="方正仿宋_GBK" w:cs="方正仿宋_GBK"/>
          <w:color w:val="000000"/>
          <w:kern w:val="24"/>
          <w:sz w:val="24"/>
        </w:rPr>
      </w:pPr>
      <w:r>
        <w:rPr>
          <w:rFonts w:ascii="方正仿宋_GBK" w:eastAsia="方正仿宋_GBK" w:cs="方正仿宋_GBK" w:hint="eastAsia"/>
          <w:color w:val="000000"/>
          <w:kern w:val="24"/>
          <w:sz w:val="24"/>
        </w:rPr>
        <w:t>10.4供应商对每种货物或服务只允许有一个报价，采购人不接受有任何选择的报价。</w:t>
      </w:r>
    </w:p>
    <w:p>
      <w:pPr>
        <w:tabs>
          <w:tab w:val="left" w:pos="588"/>
        </w:tabs>
        <w:spacing w:line="520" w:lineRule="exact"/>
        <w:ind w:firstLineChars="196" w:firstLine="470"/>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11.</w:t>
      </w:r>
      <w:bookmarkStart w:id="44" w:name="_Toc56534780"/>
      <w:bookmarkStart w:id="45" w:name="_Toc249515408"/>
      <w:bookmarkStart w:id="46" w:name="_Toc249525177"/>
      <w:bookmarkStart w:id="47" w:name="_Toc249515296"/>
      <w:r>
        <w:rPr>
          <w:rFonts w:ascii="方正小标宋_GBK" w:eastAsia="方正小标宋_GBK" w:cs="方正小标宋_GBK" w:hint="eastAsia"/>
          <w:bCs/>
          <w:color w:val="000000"/>
          <w:kern w:val="0"/>
          <w:sz w:val="24"/>
        </w:rPr>
        <w:t xml:space="preserve"> 应答有效期</w:t>
      </w:r>
      <w:bookmarkEnd w:id="44"/>
      <w:bookmarkEnd w:id="45"/>
      <w:bookmarkEnd w:id="46"/>
      <w:bookmarkEnd w:id="47"/>
    </w:p>
    <w:p>
      <w:pPr>
        <w:spacing w:line="520" w:lineRule="exact"/>
        <w:ind w:firstLineChars="200" w:firstLine="480"/>
        <w:rPr>
          <w:rFonts w:ascii="方正仿宋_GBK" w:eastAsia="方正仿宋_GBK" w:cs="方正仿宋_GBK"/>
          <w:color w:val="000000"/>
          <w:kern w:val="24"/>
          <w:sz w:val="24"/>
        </w:rPr>
      </w:pPr>
      <w:r>
        <w:rPr>
          <w:rFonts w:ascii="方正仿宋_GBK" w:eastAsia="方正仿宋_GBK" w:cs="方正仿宋_GBK" w:hint="eastAsia"/>
          <w:color w:val="000000"/>
          <w:kern w:val="24"/>
          <w:sz w:val="24"/>
        </w:rPr>
        <w:t>11.1应答有效期见本须知前附表。在应答有效期内，所有响应文件均保持有效。响应文件的有效期比本须知规定的有效期短的，将被视为非实质响应，采购人有权拒绝。</w:t>
      </w:r>
    </w:p>
    <w:p>
      <w:pPr>
        <w:spacing w:line="520" w:lineRule="exact"/>
        <w:ind w:firstLineChars="200" w:firstLine="480"/>
        <w:rPr>
          <w:rFonts w:ascii="方正仿宋_GBK" w:eastAsia="方正仿宋_GBK" w:cs="方正仿宋_GBK"/>
          <w:color w:val="000000"/>
          <w:kern w:val="24"/>
          <w:sz w:val="24"/>
        </w:rPr>
      </w:pPr>
      <w:r>
        <w:rPr>
          <w:rFonts w:ascii="方正仿宋_GBK" w:eastAsia="方正仿宋_GBK" w:cs="方正仿宋_GBK" w:hint="eastAsia"/>
          <w:color w:val="000000"/>
          <w:kern w:val="24"/>
          <w:sz w:val="24"/>
        </w:rPr>
        <w:t>11.2特殊情况下，采购人可于原应答有效期满之前要求供应商同意延长有效期，要求与答复均应为书面形式。</w:t>
      </w:r>
    </w:p>
    <w:p>
      <w:pPr>
        <w:tabs>
          <w:tab w:val="left" w:pos="588"/>
        </w:tabs>
        <w:spacing w:line="520" w:lineRule="exact"/>
        <w:ind w:firstLineChars="196" w:firstLine="470"/>
        <w:rPr>
          <w:rFonts w:ascii="方正小标宋_GBK" w:eastAsia="方正小标宋_GBK" w:cs="方正小标宋_GBK"/>
          <w:bCs/>
          <w:color w:val="000000"/>
          <w:kern w:val="0"/>
          <w:sz w:val="24"/>
        </w:rPr>
      </w:pPr>
      <w:r>
        <w:rPr>
          <w:rFonts w:ascii="方正小标宋_GBK" w:eastAsia="方正小标宋_GBK" w:cs="方正小标宋_GBK" w:hint="eastAsia"/>
          <w:bCs/>
          <w:color w:val="000000"/>
          <w:kern w:val="0"/>
          <w:sz w:val="24"/>
        </w:rPr>
        <w:t>12.响应文件的份数和签署</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12.1 供应商应准备响应文件正本一份，副本一份。</w:t>
      </w:r>
    </w:p>
    <w:p>
      <w:pPr>
        <w:spacing w:line="520" w:lineRule="exact"/>
        <w:ind w:firstLineChars="200" w:firstLine="480"/>
        <w:rPr>
          <w:rFonts w:ascii="方正仿宋_GBK" w:eastAsia="方正仿宋_GBK" w:cs="方正仿宋_GBK"/>
          <w:b/>
          <w:bCs/>
          <w:color w:val="000000"/>
          <w:sz w:val="24"/>
        </w:rPr>
      </w:pPr>
      <w:r>
        <w:rPr>
          <w:rFonts w:ascii="方正仿宋_GBK" w:eastAsia="方正仿宋_GBK" w:cs="方正仿宋_GBK" w:hint="eastAsia"/>
          <w:color w:val="000000"/>
          <w:sz w:val="24"/>
        </w:rPr>
        <w:t>12.2</w:t>
      </w:r>
      <w:r>
        <w:rPr>
          <w:rFonts w:ascii="方正仿宋_GBK" w:eastAsia="方正仿宋_GBK" w:cs="方正仿宋_GBK" w:hint="eastAsia"/>
          <w:b/>
          <w:color w:val="000000"/>
          <w:sz w:val="24"/>
        </w:rPr>
        <w:t xml:space="preserve"> 响应文件的正本和副本均使用A4幅面</w:t>
      </w:r>
      <w:r>
        <w:rPr>
          <w:rFonts w:ascii="方正仿宋_GBK" w:eastAsia="方正仿宋_GBK" w:cs="方正仿宋_GBK" w:hint="eastAsia"/>
          <w:b/>
          <w:bCs/>
          <w:color w:val="000000"/>
          <w:sz w:val="32"/>
          <w:szCs w:val="32"/>
        </w:rPr>
        <w:t>双面</w:t>
      </w:r>
      <w:r>
        <w:rPr>
          <w:rFonts w:ascii="方正仿宋_GBK" w:eastAsia="方正仿宋_GBK" w:cs="方正仿宋_GBK" w:hint="eastAsia"/>
          <w:b/>
          <w:color w:val="000000"/>
          <w:sz w:val="24"/>
        </w:rPr>
        <w:t>打印，装订方式采用软面订本，不得使用塑料夹条、薄膜外皮等饰物，装订须牢固不易拆散和换页，不得采用活页方式装订；同时应编制完整的页码目录。</w:t>
      </w:r>
      <w:r>
        <w:rPr>
          <w:rFonts w:ascii="方正仿宋_GBK" w:eastAsia="方正仿宋_GBK" w:cs="方正仿宋_GBK" w:hint="eastAsia"/>
          <w:bCs/>
          <w:color w:val="000000"/>
          <w:sz w:val="24"/>
        </w:rPr>
        <w:t>响应文件</w:t>
      </w:r>
      <w:r>
        <w:rPr>
          <w:rFonts w:ascii="方正仿宋_GBK" w:eastAsia="方正仿宋_GBK" w:cs="方正仿宋_GBK" w:hint="eastAsia"/>
          <w:color w:val="000000"/>
          <w:sz w:val="24"/>
        </w:rPr>
        <w:t>封面的右上角清楚地注明“正本”或“副本”。正本和副本如有不一致之处，以正本为准。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12.3 响应文件正本一律用不褪色的墨水书写或打印，须其加盖单位公章和法定代表人或其授权的代理人签署。响应文件的副本可采用正本的复印件。</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12.4 响应文件的任何一页都不应涂改、行间插字或删除，如果出现上述情况，不论何种原因造成，均应由供应商及供应商法定代表人加盖公章及印章。</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12.5采购人拒绝接受以电报、电话、传真、电子邮件形式递交的响应文件。</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12.6供应商在比选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pPr>
        <w:spacing w:line="520" w:lineRule="exact"/>
        <w:ind w:firstLine="482"/>
        <w:jc w:val="center"/>
        <w:rPr>
          <w:rFonts w:ascii="方正小标宋_GBK" w:eastAsia="方正小标宋_GBK" w:cs="方正小标宋_GBK"/>
          <w:color w:val="000000"/>
          <w:sz w:val="24"/>
        </w:rPr>
      </w:pPr>
      <w:r>
        <w:rPr>
          <w:rFonts w:ascii="方正小标宋_GBK" w:eastAsia="方正小标宋_GBK" w:cs="方正小标宋_GBK" w:hint="eastAsia"/>
          <w:color w:val="000000"/>
          <w:sz w:val="24"/>
        </w:rPr>
        <w:t>四、 响应文件的递交</w:t>
      </w:r>
    </w:p>
    <w:p>
      <w:pPr>
        <w:spacing w:line="520" w:lineRule="exact"/>
        <w:ind w:firstLineChars="196" w:firstLine="47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13.响应文件的密封和标记</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供应商应将响应文件自行密封装袋，并在封口处加盖供应商公章。密封袋封面应注明“具体项目名称”、“供应商”及“法定代表人或其委托代理人”，并加盖供应商公章。</w:t>
      </w:r>
    </w:p>
    <w:p>
      <w:pPr>
        <w:spacing w:line="520" w:lineRule="exact"/>
        <w:ind w:firstLineChars="196" w:firstLine="47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14.响应文件递交截止时间</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供应商必须在本须知前附表第7项规定,将响应文件送达指定地点。采购人将拒绝接收并原封退回在响应文件递交截止时间后收到的任何响应文件。</w:t>
      </w:r>
    </w:p>
    <w:p>
      <w:pPr>
        <w:spacing w:line="520" w:lineRule="exact"/>
        <w:ind w:firstLineChars="196" w:firstLine="47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15. 响应文件的补充、修改、撤回和撤销</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15.1供应商在比选截止时间之前。可以对已提交响应文件后进行补充、修改或撤回，补充、修改材料的签章及封装等须符合比选文件要求，否则不予认可。</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15.2在比选截止时间之后，供应商不得对其响应文件做任何修改。</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15.3供应商不得在比选时间起至比选文件有效期期满前撤销其响应文件。</w:t>
      </w:r>
    </w:p>
    <w:p>
      <w:pPr>
        <w:spacing w:line="520" w:lineRule="exact"/>
        <w:ind w:firstLineChars="196" w:firstLine="470"/>
        <w:jc w:val="center"/>
        <w:rPr>
          <w:rFonts w:ascii="方正小标宋_GBK" w:eastAsia="方正小标宋_GBK" w:cs="方正小标宋_GBK"/>
          <w:color w:val="000000"/>
          <w:sz w:val="24"/>
        </w:rPr>
      </w:pPr>
      <w:r>
        <w:rPr>
          <w:rFonts w:ascii="方正小标宋_GBK" w:eastAsia="方正小标宋_GBK" w:cs="方正小标宋_GBK" w:hint="eastAsia"/>
          <w:color w:val="000000"/>
          <w:sz w:val="24"/>
        </w:rPr>
        <w:t>五、评审与比选</w:t>
      </w:r>
    </w:p>
    <w:p>
      <w:pPr>
        <w:spacing w:line="520" w:lineRule="exact"/>
        <w:ind w:firstLineChars="196" w:firstLine="47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16.响应文件递交</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16.1递交时间和地点见供应商须知前附表。</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16.2递交响应文件的供应商不足三家，不进行比选，供应商当场取回响应文件，并签字确认。</w:t>
      </w:r>
    </w:p>
    <w:p>
      <w:pPr>
        <w:spacing w:line="520" w:lineRule="exact"/>
        <w:ind w:firstLineChars="196" w:firstLine="47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17. 比选小组</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17.1采购人组成比选小组，负责具体比选评审事务。</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17.2比选小组以比选文件为依据，对供应商的响应文件进行审查、澄清、评估和比较，并做出评审意见，不寻求比选通知书及符合规定的澄清文件以外的其他证据。</w:t>
      </w:r>
    </w:p>
    <w:p>
      <w:pPr>
        <w:spacing w:line="520" w:lineRule="exact"/>
        <w:ind w:firstLineChars="196" w:firstLine="47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18. 评审</w:t>
      </w:r>
    </w:p>
    <w:p>
      <w:pPr>
        <w:spacing w:line="520" w:lineRule="exact"/>
        <w:ind w:firstLineChars="200" w:firstLine="480"/>
        <w:rPr>
          <w:rFonts w:ascii="方正仿宋_GBK" w:eastAsia="方正仿宋_GBK" w:cs="方正仿宋_GBK"/>
          <w:color w:val="000000"/>
          <w:sz w:val="24"/>
        </w:rPr>
      </w:pPr>
      <w:bookmarkStart w:id="48" w:name="_Toc249515422"/>
      <w:bookmarkStart w:id="49" w:name="_Toc249525191"/>
      <w:bookmarkStart w:id="50" w:name="_Toc249515310"/>
      <w:r>
        <w:rPr>
          <w:rFonts w:ascii="方正仿宋_GBK" w:eastAsia="方正仿宋_GBK" w:cs="方正仿宋_GBK" w:hint="eastAsia"/>
          <w:color w:val="000000"/>
          <w:sz w:val="24"/>
        </w:rPr>
        <w:t>18.1评审小组所有成员集中对供应商提交响应文件进行审核。</w:t>
      </w:r>
      <w:bookmarkStart w:id="51" w:name="_Hlk508665402"/>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18.</w:t>
      </w:r>
      <w:bookmarkEnd w:id="51"/>
      <w:r>
        <w:rPr>
          <w:rFonts w:ascii="方正仿宋_GBK" w:eastAsia="方正仿宋_GBK" w:cs="方正仿宋_GBK" w:hint="eastAsia"/>
          <w:color w:val="000000"/>
          <w:sz w:val="24"/>
        </w:rPr>
        <w:t>2参加比选的中小企业应当提供有效的《中小企业声明函》，参加比选的监狱企业应当提供由省级以上监狱管理局、戒毒管理局（含新疆生产建设兵团）出具的属于监狱企业的证明文，参加比选残疾人福利性单位应当提供《残疾人福利性单位声明函》，否则评标时不得被认定。本项目将对小微型企业、监狱企业及残疾人福利性单位制造的产品在评审时给予报价15%的扣除，用扣除后的价格参与评审，即参加评审的价格=响应报价×(1-15%)。未提供相关声明函或证明文件的评审时其响应报价不予扣除，同时具备上述两种及以上类型的企业单位，不重复享受政策优惠。</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18.3本项目从质量和服务均能满足采购文件实质性响应要求的供应商中，按照最后综合评分由高到低的顺序提出成交候选人的原则确定成交供应商。</w:t>
      </w:r>
    </w:p>
    <w:p>
      <w:pPr>
        <w:spacing w:line="520" w:lineRule="exact"/>
        <w:ind w:firstLineChars="196" w:firstLine="470"/>
        <w:rPr>
          <w:rFonts w:ascii="方正小标宋_GBK" w:eastAsia="方正小标宋_GBK" w:cs="方正小标宋_GBK"/>
          <w:bCs/>
          <w:color w:val="000000"/>
          <w:sz w:val="24"/>
        </w:rPr>
      </w:pPr>
      <w:bookmarkEnd w:id="48"/>
      <w:bookmarkEnd w:id="49"/>
      <w:bookmarkEnd w:id="50"/>
      <w:r>
        <w:rPr>
          <w:rFonts w:ascii="方正小标宋_GBK" w:eastAsia="方正小标宋_GBK" w:cs="方正小标宋_GBK" w:hint="eastAsia"/>
          <w:bCs/>
          <w:color w:val="000000"/>
          <w:sz w:val="24"/>
        </w:rPr>
        <w:t>19.废标</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19.1出现下列情况之一时，比选小组有权决定废标，并将理由通知所有供应商：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（1）递交响应文件的供应商不足三家的；</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（2）通过资格条件审查或符合性审查的供应商不足三家的；</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（3）出现影响采购公正的违法、违规行为的；</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（4）因重大变故，采购任务取消的。</w:t>
      </w:r>
    </w:p>
    <w:p>
      <w:pPr>
        <w:spacing w:line="520" w:lineRule="exact"/>
        <w:ind w:firstLineChars="196" w:firstLine="47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 xml:space="preserve">20.串标  </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20.1供应商有《政府采购法实施条例》第七十四条规定情形之一的，属于恶意串通，其响应无效，并按有关规定追究法律责任。</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20.2供应商有下列情形之一的，视为串通投标，其响应无效。</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（1）不同供应商的响应文件由同一单位或者个人编制；</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（2）不同供应商委托同一单位或者个人办理比选事宜；</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（3）不同供应商的响应文件载明的项目管理成员或者联系人员为同一人；</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（4）不同供应商的响应文件异常一致或者响应报价呈规律性差异；</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（5）不同供应商的响应文件相互混装。</w:t>
      </w:r>
    </w:p>
    <w:p>
      <w:pPr>
        <w:spacing w:line="520" w:lineRule="exact"/>
        <w:ind w:firstLineChars="179" w:firstLine="430"/>
        <w:jc w:val="center"/>
        <w:rPr>
          <w:rFonts w:ascii="方正小标宋_GBK" w:eastAsia="方正小标宋_GBK" w:cs="方正小标宋_GBK"/>
          <w:color w:val="000000"/>
          <w:sz w:val="24"/>
        </w:rPr>
      </w:pPr>
      <w:r>
        <w:rPr>
          <w:rFonts w:ascii="方正小标宋_GBK" w:eastAsia="方正小标宋_GBK" w:cs="方正小标宋_GBK" w:hint="eastAsia"/>
          <w:color w:val="000000"/>
          <w:sz w:val="24"/>
        </w:rPr>
        <w:t>六、合同授予</w:t>
      </w:r>
    </w:p>
    <w:p>
      <w:pPr>
        <w:spacing w:line="520" w:lineRule="exact"/>
        <w:ind w:firstLineChars="196" w:firstLine="470"/>
        <w:rPr>
          <w:rFonts w:ascii="方正小标宋_GBK" w:eastAsia="方正小标宋_GBK" w:cs="方正小标宋_GBK"/>
          <w:color w:val="000000"/>
          <w:sz w:val="24"/>
        </w:rPr>
      </w:pPr>
      <w:r>
        <w:rPr>
          <w:rFonts w:ascii="方正小标宋_GBK" w:eastAsia="方正小标宋_GBK" w:cs="方正小标宋_GBK" w:hint="eastAsia"/>
          <w:color w:val="000000"/>
          <w:sz w:val="24"/>
        </w:rPr>
        <w:t>21.定标准则</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 xml:space="preserve">21.1采购人将按比选小组推荐的中标候选人名单排序确定成交供应商或入库单位，原则上以第一中标候选人作为成交供应商。 </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21.2成交供应商因不可抗力或自身原因放弃成交资格的，采购人可以按照比选小组推荐的成交候选人名单排序，确定下一顺位候选人为成交供应商，也可以重新组织采购活动。</w:t>
      </w:r>
    </w:p>
    <w:p>
      <w:pPr>
        <w:spacing w:line="520" w:lineRule="exact"/>
        <w:ind w:firstLineChars="196" w:firstLine="470"/>
        <w:rPr>
          <w:rFonts w:ascii="方正小标宋_GBK" w:eastAsia="方正小标宋_GBK" w:cs="方正小标宋_GBK"/>
          <w:color w:val="000000"/>
          <w:sz w:val="24"/>
        </w:rPr>
      </w:pPr>
      <w:r>
        <w:rPr>
          <w:rFonts w:ascii="方正小标宋_GBK" w:eastAsia="方正小标宋_GBK" w:cs="方正小标宋_GBK" w:hint="eastAsia"/>
          <w:color w:val="000000"/>
          <w:sz w:val="24"/>
        </w:rPr>
        <w:t>22.中选通知</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成交供应商确定后，采购人在重庆海关官方网站发布中标结果公告。</w:t>
      </w:r>
    </w:p>
    <w:p>
      <w:pPr>
        <w:spacing w:line="520" w:lineRule="exact"/>
        <w:ind w:firstLineChars="196" w:firstLine="470"/>
        <w:rPr>
          <w:rFonts w:ascii="方正小标宋_GBK" w:eastAsia="方正小标宋_GBK" w:cs="方正小标宋_GBK"/>
          <w:color w:val="000000"/>
          <w:sz w:val="24"/>
        </w:rPr>
      </w:pPr>
      <w:r>
        <w:rPr>
          <w:rFonts w:ascii="方正小标宋_GBK" w:eastAsia="方正小标宋_GBK" w:cs="方正小标宋_GBK" w:hint="eastAsia"/>
          <w:color w:val="000000"/>
          <w:sz w:val="24"/>
        </w:rPr>
        <w:t>23.合同协议书的签署</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23.1采购人应当自成交公告公示期满之日起三十日内，与成交人签订合同。成交人无正当理由拒绝与采购人签订合同的，将承担相应的法律责任。</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23.2 书面合同经双方法定代表人签署加盖公章后生效。</w:t>
      </w:r>
    </w:p>
    <w:p>
      <w:pPr>
        <w:spacing w:line="520" w:lineRule="exact"/>
        <w:ind w:firstLineChars="196" w:firstLine="470"/>
        <w:jc w:val="center"/>
        <w:rPr>
          <w:rFonts w:ascii="方正小标宋_GBK" w:eastAsia="方正小标宋_GBK" w:cs="方正小标宋_GBK"/>
          <w:color w:val="000000"/>
          <w:sz w:val="24"/>
        </w:rPr>
      </w:pPr>
      <w:r>
        <w:rPr>
          <w:rFonts w:ascii="方正小标宋_GBK" w:eastAsia="方正小标宋_GBK" w:cs="方正小标宋_GBK" w:hint="eastAsia"/>
          <w:color w:val="000000"/>
          <w:sz w:val="24"/>
        </w:rPr>
        <w:t>七、质疑提出与处理</w:t>
      </w:r>
    </w:p>
    <w:p>
      <w:pPr>
        <w:spacing w:line="520" w:lineRule="exact"/>
        <w:ind w:firstLineChars="200" w:firstLine="48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24.质疑提出</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24.1供应商认为比选邀请、比选过程及成交结果使自己的权益受到损害的，可以在知道或应知权益受到损害之日起七个工作日内提出，针对同一采购程序环节的质疑应一次性提出。</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24.2供应商质疑应当有明确的事项，并符合下列要求：</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（1）提出质疑的供应商应当是按规定直接取得比选通知书并参与比选的供应商；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（2）提出质疑应当在法定质疑期限内（以当面送达日期或信函快递发出日期为准）；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（3）提出质疑应当提供事实依据和证明材料，证明材料应当内容真实、来源合法；</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24.3质疑函应当按附件格式通过当面送达或信函快递等原件方式向采购人递交，采购机构不接受电子邮件、传真等非原件方式递交的质疑函，格式见附件。</w:t>
      </w:r>
    </w:p>
    <w:p>
      <w:pPr>
        <w:spacing w:line="520" w:lineRule="exact"/>
        <w:ind w:firstLineChars="200" w:firstLine="480"/>
        <w:rPr>
          <w:rFonts w:ascii="方正小标宋_GBK" w:eastAsia="方正小标宋_GBK" w:cs="方正小标宋_GBK"/>
          <w:bCs/>
          <w:color w:val="000000"/>
          <w:sz w:val="24"/>
        </w:rPr>
      </w:pPr>
      <w:r>
        <w:rPr>
          <w:rFonts w:ascii="方正小标宋_GBK" w:eastAsia="方正小标宋_GBK" w:cs="方正小标宋_GBK" w:hint="eastAsia"/>
          <w:bCs/>
          <w:color w:val="000000"/>
          <w:sz w:val="24"/>
        </w:rPr>
        <w:t>25.质疑处理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25.1对于依法提出的供应商质疑，采购人将在收到质疑函之日起（以当面送达日期或信函快递收到日期为准）七个工作日内书面答复质疑供应商。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25.2质疑答复函将通过来人领取或信函邮寄、快递等原件方式向质疑供应商送达，不得以电子邮件、传真等非原件方式送达质疑供应商。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25.3质疑供应商提出质疑不符合比选通知书24.2和24.3要求的，采购人将不予受理。</w:t>
      </w:r>
    </w:p>
    <w:p>
      <w:pPr>
        <w:pStyle w:val="1"/>
        <w:tabs>
          <w:tab w:val="left" w:pos="432"/>
        </w:tabs>
        <w:spacing w:line="520" w:lineRule="exact"/>
        <w:ind w:left="0" w:firstLine="0"/>
        <w:jc w:val="both"/>
        <w:rPr>
          <w:rFonts w:ascii="方正小标宋_GBK" w:eastAsia="方正小标宋_GBK" w:cs="方正小标宋_GBK"/>
          <w:bCs/>
          <w:color w:val="000000"/>
          <w:sz w:val="44"/>
          <w:szCs w:val="44"/>
        </w:rPr>
      </w:pPr>
    </w:p>
    <w:p>
      <w:pPr>
        <w:pStyle w:val="1"/>
        <w:tabs>
          <w:tab w:val="left" w:pos="432"/>
        </w:tabs>
        <w:spacing w:line="520" w:lineRule="exact"/>
        <w:ind w:left="0" w:firstLineChars="700" w:firstLine="3080"/>
        <w:jc w:val="both"/>
        <w:rPr>
          <w:rFonts w:ascii="方正小标宋_GBK" w:eastAsia="方正小标宋_GBK" w:cs="方正小标宋_GBK"/>
          <w:bCs/>
          <w:color w:val="000000"/>
          <w:sz w:val="44"/>
          <w:szCs w:val="44"/>
        </w:rPr>
      </w:pPr>
      <w:r>
        <w:rPr>
          <w:rFonts w:ascii="方正小标宋_GBK" w:eastAsia="方正小标宋_GBK" w:cs="方正小标宋_GBK" w:hint="eastAsia"/>
          <w:bCs/>
          <w:color w:val="000000"/>
          <w:sz w:val="44"/>
          <w:szCs w:val="44"/>
        </w:rPr>
        <w:t>第三章 比选方法</w:t>
      </w:r>
    </w:p>
    <w:p>
      <w:pPr>
        <w:spacing w:line="520" w:lineRule="exact"/>
        <w:ind w:firstLineChars="200" w:firstLine="480"/>
        <w:rPr>
          <w:b/>
          <w:color w:val="000000"/>
          <w:sz w:val="24"/>
        </w:rPr>
      </w:pPr>
    </w:p>
    <w:p>
      <w:pPr>
        <w:spacing w:line="360" w:lineRule="auto"/>
        <w:ind w:firstLineChars="200" w:firstLine="480"/>
        <w:rPr>
          <w:rFonts w:ascii="宋体" w:cs="宋体"/>
          <w:b/>
          <w:sz w:val="24"/>
        </w:rPr>
      </w:pPr>
      <w:r>
        <w:rPr>
          <w:rFonts w:ascii="宋体" w:cs="宋体" w:hint="eastAsia"/>
          <w:b/>
          <w:sz w:val="24"/>
        </w:rPr>
        <w:t>一、比选方法定义</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本项目采用综合评分法进行比选。</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二、比选程序</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比选工作由采购人负责组织，具体比选事务由采购人组建的评审小组负责。</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评审小组按以下程序独立履行评审职责：</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1.资格性检查。依据法律法规和比选文件的规定，对响应文件中的资格证明等进行审查，以确定供应商是否具备资格。资格性检查资料表如下：</w:t>
      </w:r>
    </w:p>
    <w:tbl>
      <w:tblPr>
        <w:jc w:val="left"/>
        <w:tblInd w:w="0" w:type="dxa"/>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6"/>
        <w:gridCol w:w="2132"/>
        <w:gridCol w:w="6820"/>
      </w:tblGrid>
      <w:tr>
        <w:trPr>
          <w:trHeight w:val="336"/>
          <w:tblHead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序号</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检查因素</w:t>
            </w:r>
          </w:p>
        </w:tc>
        <w:tc>
          <w:tcPr>
            <w:tcW w:w="682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检查内容</w:t>
            </w:r>
          </w:p>
        </w:tc>
      </w:tr>
      <w:tr>
        <w:trPr>
          <w:trHeight w:val="1112"/>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1.1</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lang w:val="zh-CN"/>
              </w:rPr>
            </w:pPr>
            <w:r>
              <w:rPr>
                <w:rFonts w:ascii="方正仿宋_GBK" w:eastAsia="方正仿宋_GBK" w:cs="方正仿宋_GBK" w:hint="eastAsia"/>
                <w:color w:val="000000"/>
                <w:sz w:val="24"/>
              </w:rPr>
              <w:t>供应商</w:t>
            </w:r>
            <w:r>
              <w:rPr>
                <w:rFonts w:ascii="方正仿宋_GBK" w:eastAsia="方正仿宋_GBK" w:cs="方正仿宋_GBK" w:hint="eastAsia"/>
                <w:color w:val="000000"/>
                <w:sz w:val="24"/>
                <w:lang w:val="zh-CN"/>
              </w:rPr>
              <w:t>应符合的基本资格条件</w:t>
            </w:r>
          </w:p>
        </w:tc>
        <w:tc>
          <w:tcPr>
            <w:tcW w:w="682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《供应商资格审查一览表》。</w:t>
            </w:r>
          </w:p>
        </w:tc>
      </w:tr>
      <w:tr>
        <w:trPr>
          <w:cantSplit/>
          <w:trHeight w:val="474"/>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1.2</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供应商必须符合的特定资格条件</w:t>
            </w:r>
          </w:p>
        </w:tc>
        <w:tc>
          <w:tcPr>
            <w:tcW w:w="682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无</w:t>
            </w:r>
          </w:p>
        </w:tc>
      </w:tr>
    </w:tbl>
    <w:p>
      <w:pPr>
        <w:spacing w:line="520" w:lineRule="exact"/>
        <w:ind w:firstLineChars="200" w:firstLine="480"/>
        <w:rPr>
          <w:rFonts w:ascii="方正仿宋_GBK" w:eastAsia="方正仿宋_GBK" w:cs="方正仿宋_GBK"/>
          <w:color w:val="000000"/>
          <w:sz w:val="24"/>
        </w:rPr>
      </w:pP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注：供应商需提供营业执照复印件，按“三证合一”登记制度办理营业执照的，组织机构代码证和税务登记证（副本）以供应商所提供的营业执照（副本）复印件为准。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2.符合性检查。</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2.1 依据比选文件的规定，从响应文件的有效性、完整性和对比选文件的响应程度进行审查，以确定是否对比选文件的实质性要求作出响应。符合性检查资料表如下：</w:t>
      </w:r>
    </w:p>
    <w:tbl>
      <w:tblPr>
        <w:jc w:val="cent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0"/>
        <w:gridCol w:w="1275"/>
        <w:gridCol w:w="1985"/>
        <w:gridCol w:w="5953"/>
      </w:tblGrid>
      <w:tr>
        <w:trPr>
          <w:trHeight w:val="5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序号</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评审因素</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评审标准</w:t>
            </w:r>
          </w:p>
        </w:tc>
      </w:tr>
      <w:tr>
        <w:trPr>
          <w:trHeight w:val="474"/>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1</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有效性审查</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响应文件签署</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法定代表人或其授权代表人的签字齐全。</w:t>
            </w:r>
          </w:p>
        </w:tc>
      </w:tr>
      <w:tr>
        <w:trPr>
          <w:trHeight w:val="777"/>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法定代表人授权委托书</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法定代表人授权委托书有效，符合比选文件规定的格式，签字或盖章齐全。</w:t>
            </w:r>
          </w:p>
        </w:tc>
      </w:tr>
      <w:tr>
        <w:trPr>
          <w:trHeight w:val="380"/>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报价唯一</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只能在采购预算范围内报价，只能有一个有效报价，不得提交选择性报价。</w:t>
            </w:r>
          </w:p>
        </w:tc>
      </w:tr>
    </w:tbl>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注：符合性审查不合格者，按无效投标处理。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2.2 澄清有关问题。对响应文件中有明显文字和计算错误的内容，评审小组可以书面形式要求供应商作出必要澄清、说明或者纠正。供应商的澄清、说明或者补正应当采用书面形式，由其法定代表人授权代表签字，其澄清的内容不得超出响应文件的范围或者改变实质性内容。</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2.3 比较与评价。按比选文件中规定的评标方法和标准，对符合性检查合格的响应文件评选。</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2.4 推荐中标候选人名单。按评审最终得分从高到低的排列顺序推荐综合评分最高的供应商为本项目中标候选人，排名第一的为第一中标候选人。</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三、比选方法</w:t>
      </w:r>
    </w:p>
    <w:tbl>
      <w:tblPr>
        <w:tblpPr w:leftFromText="180" w:rightFromText="180" w:vertAnchor="text" w:horzAnchor="page" w:tblpX="1689" w:tblpY="89"/>
        <w:tblOverlap w:val="never"/>
        <w:tblW w:w="92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647"/>
        <w:gridCol w:w="1271"/>
        <w:gridCol w:w="1246"/>
        <w:gridCol w:w="3644"/>
        <w:gridCol w:w="2464"/>
      </w:tblGrid>
      <w:tr>
        <w:trPr>
          <w:trHeight w:val="1435"/>
        </w:trPr>
        <w:tc>
          <w:tcPr>
            <w:tcW w:w="647"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序号</w:t>
            </w:r>
          </w:p>
        </w:tc>
        <w:tc>
          <w:tcPr>
            <w:tcW w:w="1271"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评分因素及权重</w:t>
            </w:r>
          </w:p>
        </w:tc>
        <w:tc>
          <w:tcPr>
            <w:tcW w:w="1246" w:type="dxa"/>
            <w:vAlign w:val="center"/>
          </w:tcPr>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分值</w:t>
            </w:r>
          </w:p>
        </w:tc>
        <w:tc>
          <w:tcPr>
            <w:tcW w:w="3644" w:type="dxa"/>
            <w:vAlign w:val="center"/>
          </w:tcPr>
          <w:p>
            <w:pPr>
              <w:spacing w:line="520" w:lineRule="exact"/>
              <w:ind w:firstLineChars="400" w:firstLine="960"/>
              <w:rPr>
                <w:rFonts w:ascii="方正仿宋_GBK" w:eastAsia="方正仿宋_GBK" w:cs="方正仿宋_GBK"/>
                <w:color w:val="000000"/>
                <w:sz w:val="24"/>
              </w:rPr>
            </w:pPr>
            <w:r>
              <w:rPr>
                <w:rFonts w:ascii="方正仿宋_GBK" w:eastAsia="方正仿宋_GBK" w:cs="方正仿宋_GBK" w:hint="eastAsia"/>
                <w:color w:val="000000"/>
                <w:sz w:val="24"/>
              </w:rPr>
              <w:t>评分标准</w:t>
            </w:r>
          </w:p>
        </w:tc>
        <w:tc>
          <w:tcPr>
            <w:tcW w:w="2464" w:type="dxa"/>
            <w:vAlign w:val="center"/>
          </w:tcPr>
          <w:p>
            <w:pPr>
              <w:spacing w:line="520" w:lineRule="exact"/>
              <w:ind w:firstLineChars="400" w:firstLine="960"/>
              <w:rPr>
                <w:rFonts w:ascii="方正仿宋_GBK" w:eastAsia="方正仿宋_GBK" w:cs="方正仿宋_GBK"/>
                <w:color w:val="000000"/>
                <w:sz w:val="24"/>
              </w:rPr>
            </w:pPr>
            <w:r>
              <w:rPr>
                <w:rFonts w:ascii="方正仿宋_GBK" w:eastAsia="方正仿宋_GBK" w:cs="方正仿宋_GBK" w:hint="eastAsia"/>
                <w:color w:val="000000"/>
                <w:sz w:val="24"/>
              </w:rPr>
              <w:t>说明</w:t>
            </w:r>
          </w:p>
        </w:tc>
      </w:tr>
      <w:tr>
        <w:trPr>
          <w:trHeight w:val="4019"/>
        </w:trPr>
        <w:tc>
          <w:tcPr>
            <w:tcW w:w="647" w:type="dxa"/>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w:t>
            </w:r>
          </w:p>
        </w:tc>
        <w:tc>
          <w:tcPr>
            <w:tcW w:w="1271"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价格部分（30%）</w:t>
            </w:r>
          </w:p>
        </w:tc>
        <w:tc>
          <w:tcPr>
            <w:tcW w:w="1246" w:type="dxa"/>
            <w:vAlign w:val="center"/>
          </w:tcPr>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30分</w:t>
            </w:r>
          </w:p>
        </w:tc>
        <w:tc>
          <w:tcPr>
            <w:tcW w:w="3644"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有效的投标报价中的最低价为评标基准价，其价格分为满分。其他供应商的价格分统一按照下列公式计算：</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投标报价得分＝（评标基准价/投标报价）×价格权重×100。</w:t>
            </w:r>
          </w:p>
        </w:tc>
        <w:tc>
          <w:tcPr>
            <w:tcW w:w="2464"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本项目将对小微型企业、监狱企业及残疾人福利性单位制造的产品在评审时给予报价15%的扣除</w:t>
            </w:r>
          </w:p>
        </w:tc>
      </w:tr>
      <w:tr>
        <w:trPr>
          <w:trHeight w:val="1422"/>
        </w:trPr>
        <w:tc>
          <w:tcPr>
            <w:tcW w:w="647" w:type="dxa"/>
            <w:vMerge w:val="restart"/>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2</w:t>
            </w:r>
          </w:p>
        </w:tc>
        <w:tc>
          <w:tcPr>
            <w:tcW w:w="1271" w:type="dxa"/>
            <w:vMerge w:val="restart"/>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技术部分（55%）</w:t>
            </w:r>
          </w:p>
          <w:p>
            <w:pPr>
              <w:spacing w:line="520" w:lineRule="exact"/>
              <w:ind w:firstLineChars="200" w:firstLine="480"/>
              <w:rPr>
                <w:rFonts w:ascii="方正仿宋_GBK" w:eastAsia="方正仿宋_GBK" w:cs="方正仿宋_GBK"/>
                <w:color w:val="000000"/>
                <w:sz w:val="24"/>
              </w:rPr>
            </w:pPr>
          </w:p>
        </w:tc>
        <w:tc>
          <w:tcPr>
            <w:tcW w:w="1246" w:type="dxa"/>
            <w:tcBorders>
              <w:bottom w:val="single" w:sz="4" w:space="0" w:color="auto"/>
            </w:tcBorders>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技术参数</w:t>
            </w:r>
          </w:p>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30分</w:t>
            </w:r>
          </w:p>
        </w:tc>
        <w:tc>
          <w:tcPr>
            <w:tcW w:w="3644" w:type="dxa"/>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1.起评分：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有效投标人的起评分为30分。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2.扣分条款：</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2.1投标产品技术参数不满足招标文件重要技术（▲标注条款）需求的，每负偏离一条从起评分中扣除2分，扣完为止。</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2.2投标文件投标应答有一条不满足招标文件一般性服务参数，每负偏离一条从起评分中扣除1分，扣完为止。</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技术参数得分为0分的供应商不能作为成交候选人。</w:t>
            </w:r>
          </w:p>
        </w:tc>
        <w:tc>
          <w:tcPr>
            <w:tcW w:w="2464"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重要技术（▲标注条款）需求需提供</w:t>
            </w:r>
            <w:r>
              <w:rPr>
                <w:rFonts w:ascii="方正仿宋_GBK" w:eastAsia="方正仿宋_GBK" w:cs="方正仿宋_GBK" w:hint="eastAsia"/>
                <w:b/>
                <w:bCs/>
                <w:color w:val="000000"/>
                <w:sz w:val="24"/>
              </w:rPr>
              <w:t>彩打系统截图</w:t>
            </w:r>
            <w:r>
              <w:rPr>
                <w:rFonts w:ascii="方正仿宋_GBK" w:eastAsia="方正仿宋_GBK" w:cs="方正仿宋_GBK" w:hint="eastAsia"/>
                <w:color w:val="000000"/>
                <w:sz w:val="24"/>
              </w:rPr>
              <w:t>，加盖公章。</w:t>
            </w:r>
          </w:p>
        </w:tc>
      </w:tr>
      <w:tr>
        <w:trPr>
          <w:trHeight w:val="1034"/>
        </w:trPr>
        <w:tc>
          <w:tcPr>
            <w:tcW w:w="647" w:type="dxa"/>
            <w:vMerge/>
            <w:vAlign w:val="center"/>
          </w:tcPr>
          <w:p/>
        </w:tc>
        <w:tc>
          <w:tcPr>
            <w:tcW w:w="1271" w:type="dxa"/>
            <w:vMerge/>
            <w:vAlign w:val="center"/>
          </w:tcPr>
          <w:p/>
        </w:tc>
        <w:tc>
          <w:tcPr>
            <w:tcW w:w="1246" w:type="dxa"/>
            <w:vAlign w:val="center"/>
          </w:tcPr>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项目设计方案</w:t>
            </w:r>
          </w:p>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5分</w:t>
            </w:r>
          </w:p>
        </w:tc>
        <w:tc>
          <w:tcPr>
            <w:tcW w:w="3644" w:type="dxa"/>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项目设计方案：依据供应商提供的本项目中的体检业务实际需求编制本项目整体设计方案（包括项目整体设计方案、总体设计思路、系统技术架构、功能模块设计、数据库设计、系统部署架构等）</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方案内容存在0处瑕疵，得5分。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方案内容存在1处瑕疵，得3分。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方案内容存在2处瑕疵，得1分。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方案内容存在3处及以上瑕疵或未提供方案得0分。</w:t>
            </w:r>
          </w:p>
        </w:tc>
        <w:tc>
          <w:tcPr>
            <w:tcW w:w="2464" w:type="dxa"/>
            <w:vMerge w:val="restart"/>
          </w:tcPr>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1.提供方案（格式自定），加盖公章。</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2.本项内容中所称的“瑕疵”指以下任意一种情形：</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①方案内容缺项</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②内容表述不完整、缺少任意一项内容的针对性描述分析或缺少关键分析点</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③方案内容表述前后矛盾、无连贯性</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④内容存在逻辑漏洞、常识错误、科学原理错误。</w:t>
            </w:r>
          </w:p>
          <w:p>
            <w:pPr>
              <w:spacing w:line="520" w:lineRule="exact"/>
              <w:ind w:firstLineChars="200" w:firstLine="480"/>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ind w:firstLineChars="200" w:firstLine="480"/>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p>
            <w:pPr>
              <w:spacing w:line="520" w:lineRule="exact"/>
              <w:rPr>
                <w:rFonts w:ascii="方正仿宋_GBK" w:eastAsia="方正仿宋_GBK" w:cs="方正仿宋_GBK"/>
                <w:color w:val="000000"/>
                <w:sz w:val="24"/>
              </w:rPr>
            </w:pPr>
          </w:p>
        </w:tc>
      </w:tr>
      <w:tr>
        <w:trPr>
          <w:trHeight w:val="1411"/>
        </w:trPr>
        <w:tc>
          <w:tcPr>
            <w:tcW w:w="647" w:type="dxa"/>
            <w:vMerge/>
            <w:vAlign w:val="center"/>
          </w:tcPr>
          <w:p/>
        </w:tc>
        <w:tc>
          <w:tcPr>
            <w:tcW w:w="1271" w:type="dxa"/>
            <w:vMerge/>
            <w:vAlign w:val="center"/>
          </w:tcPr>
          <w:p/>
        </w:tc>
        <w:tc>
          <w:tcPr>
            <w:tcW w:w="1246"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项目实施方案</w:t>
            </w:r>
          </w:p>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8分</w:t>
            </w:r>
          </w:p>
        </w:tc>
        <w:tc>
          <w:tcPr>
            <w:tcW w:w="3644" w:type="dxa"/>
            <w:tcBorders>
              <w:bottom w:val="single" w:sz="4" w:space="0" w:color="auto"/>
            </w:tcBorders>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项目实施方案：依据供应商提供的本项目中的产品及服务相关的实施方案（包括</w:t>
            </w:r>
            <w:r>
              <w:rPr>
                <w:rFonts w:ascii="方正仿宋_GBK" w:eastAsia="方正仿宋_GBK" w:cs="方正仿宋_GBK" w:hint="eastAsia"/>
                <w:b/>
                <w:bCs/>
                <w:color w:val="000000"/>
                <w:sz w:val="24"/>
              </w:rPr>
              <w:t>项目实施计划、实施团队、服务期限、技术架构、系统部署架构、应急方案</w:t>
            </w:r>
            <w:r>
              <w:rPr>
                <w:rFonts w:ascii="方正仿宋_GBK" w:eastAsia="方正仿宋_GBK" w:cs="方正仿宋_GBK" w:hint="eastAsia"/>
                <w:color w:val="000000"/>
                <w:sz w:val="24"/>
              </w:rPr>
              <w:t>等），方案需涵盖上述内容且完整、科学、合理，符合采购项目相关实施需求。</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方案内容存在0处瑕疵，得8分。</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方案内容存在1处瑕疵，得6分。</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方案内容存在2处瑕疵，得4分。</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方案内容存在3处瑕疵，得2分。</w:t>
            </w:r>
          </w:p>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方案内容存在4处及以上瑕疵或未提供方案得0分。</w:t>
            </w:r>
          </w:p>
        </w:tc>
        <w:tc>
          <w:tcPr>
            <w:tcW w:w="2464" w:type="dxa"/>
            <w:vMerge/>
          </w:tcPr>
          <w:p/>
        </w:tc>
      </w:tr>
      <w:tr>
        <w:trPr>
          <w:trHeight w:val="2390"/>
        </w:trPr>
        <w:tc>
          <w:tcPr>
            <w:tcW w:w="647" w:type="dxa"/>
            <w:vMerge/>
            <w:vAlign w:val="center"/>
          </w:tcPr>
          <w:p/>
        </w:tc>
        <w:tc>
          <w:tcPr>
            <w:tcW w:w="1271" w:type="dxa"/>
            <w:vMerge/>
            <w:vAlign w:val="center"/>
          </w:tcPr>
          <w:p/>
        </w:tc>
        <w:tc>
          <w:tcPr>
            <w:tcW w:w="1246"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项目培训方案</w:t>
            </w:r>
          </w:p>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6分</w:t>
            </w:r>
          </w:p>
        </w:tc>
        <w:tc>
          <w:tcPr>
            <w:tcW w:w="3644" w:type="dxa"/>
            <w:tcBorders>
              <w:top w:val="single" w:sz="4" w:space="0" w:color="auto"/>
            </w:tcBorders>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项目培训方案：依据供应商提供的本项目中的产品及服务相关的培训方案（包括</w:t>
            </w:r>
            <w:r>
              <w:rPr>
                <w:rFonts w:ascii="方正仿宋_GBK" w:eastAsia="方正仿宋_GBK" w:cs="方正仿宋_GBK" w:hint="eastAsia"/>
                <w:b/>
                <w:bCs/>
                <w:color w:val="000000"/>
                <w:sz w:val="24"/>
              </w:rPr>
              <w:t>培训方式、培训目标、培训计划、培训内容、培训课程</w:t>
            </w:r>
            <w:r>
              <w:rPr>
                <w:rFonts w:ascii="方正仿宋_GBK" w:eastAsia="方正仿宋_GBK" w:cs="方正仿宋_GBK" w:hint="eastAsia"/>
                <w:color w:val="000000"/>
                <w:sz w:val="24"/>
              </w:rPr>
              <w:t>等）进行评价，方案需涵盖上述内容且完整、科学、合理，符合采购项目相关培训需求。</w:t>
              <w:br/>
              <w:t>方案内容存在0处瑕疵，得6分。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方案内容存在1处瑕疵，得4分。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方案内容存在2处瑕疵，得2分。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方案内容存在3处及以上瑕疵或未提供方案得0分。</w:t>
            </w:r>
          </w:p>
        </w:tc>
        <w:tc>
          <w:tcPr>
            <w:tcW w:w="2464" w:type="dxa"/>
            <w:vMerge/>
          </w:tcPr>
          <w:p/>
        </w:tc>
      </w:tr>
      <w:tr>
        <w:trPr>
          <w:trHeight w:val="646"/>
        </w:trPr>
        <w:tc>
          <w:tcPr>
            <w:tcW w:w="647" w:type="dxa"/>
            <w:vMerge/>
            <w:vAlign w:val="center"/>
          </w:tcPr>
          <w:p/>
        </w:tc>
        <w:tc>
          <w:tcPr>
            <w:tcW w:w="1271" w:type="dxa"/>
            <w:vMerge/>
            <w:vAlign w:val="center"/>
          </w:tcPr>
          <w:p/>
        </w:tc>
        <w:tc>
          <w:tcPr>
            <w:tcW w:w="1246" w:type="dxa"/>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售后服务方案</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6分</w:t>
            </w:r>
          </w:p>
        </w:tc>
        <w:tc>
          <w:tcPr>
            <w:tcW w:w="3644" w:type="dxa"/>
            <w:vAlign w:val="center"/>
          </w:tcPr>
          <w:p>
            <w:pPr>
              <w:spacing w:line="520" w:lineRule="exact"/>
              <w:ind w:firstLineChars="200" w:firstLine="480"/>
              <w:rPr>
                <w:rFonts w:ascii="方正仿宋_GBK" w:eastAsia="方正仿宋_GBK" w:cs="方正仿宋_GBK"/>
                <w:color w:val="000000"/>
                <w:sz w:val="24"/>
                <w:lang w:eastAsia="en-US"/>
              </w:rPr>
            </w:pPr>
            <w:r>
              <w:rPr>
                <w:rFonts w:ascii="方正仿宋_GBK" w:eastAsia="方正仿宋_GBK" w:cs="方正仿宋_GBK" w:hint="eastAsia"/>
                <w:color w:val="000000"/>
                <w:sz w:val="24"/>
              </w:rPr>
              <w:t>售后服务方案：依据供应商提供的本项目中的产品及服务相关的售后服务方案（包括售后日常技术维护团队及内容、售后服务流程、故障响应方式、</w:t>
            </w:r>
            <w:r>
              <w:rPr>
                <w:rFonts w:ascii="方正仿宋_GBK" w:eastAsia="方正仿宋_GBK" w:cs="方正仿宋_GBK" w:hint="eastAsia"/>
                <w:b/>
                <w:bCs/>
                <w:color w:val="000000"/>
                <w:sz w:val="24"/>
              </w:rPr>
              <w:t>质保期内售后服务范围、质保期外维护费、质保期外售后服务范围</w:t>
            </w:r>
            <w:r>
              <w:rPr>
                <w:rFonts w:ascii="方正仿宋_GBK" w:eastAsia="方正仿宋_GBK" w:cs="方正仿宋_GBK" w:hint="eastAsia"/>
                <w:color w:val="000000"/>
                <w:sz w:val="24"/>
              </w:rPr>
              <w:t>、售后响应周期承诺书等），方案需涵盖上述内容且完整、科学、合理，符合采购项目相关售后需求。</w:t>
              <w:br/>
            </w:r>
            <w:r>
              <w:rPr>
                <w:rFonts w:ascii="方正仿宋_GBK" w:eastAsia="方正仿宋_GBK" w:cs="方正仿宋_GBK" w:hint="eastAsia"/>
                <w:color w:val="000000"/>
                <w:sz w:val="24"/>
                <w:lang w:val="en-US" w:eastAsia="zh-CN"/>
              </w:rPr>
              <w:t xml:space="preserve">   </w:t>
            </w:r>
            <w:r>
              <w:rPr>
                <w:rFonts w:ascii="方正仿宋_GBK" w:eastAsia="方正仿宋_GBK" w:cs="方正仿宋_GBK" w:hint="eastAsia"/>
                <w:color w:val="000000"/>
                <w:sz w:val="24"/>
                <w:lang w:eastAsia="en-US"/>
              </w:rPr>
              <w:t>方案内容存在</w:t>
            </w:r>
            <w:r>
              <w:rPr>
                <w:rFonts w:ascii="方正仿宋_GBK" w:eastAsia="方正仿宋_GBK" w:cs="方正仿宋_GBK" w:hint="eastAsia"/>
                <w:color w:val="000000"/>
                <w:sz w:val="24"/>
              </w:rPr>
              <w:t>0</w:t>
            </w:r>
            <w:r>
              <w:rPr>
                <w:rFonts w:ascii="方正仿宋_GBK" w:eastAsia="方正仿宋_GBK" w:cs="方正仿宋_GBK" w:hint="eastAsia"/>
                <w:color w:val="000000"/>
                <w:sz w:val="24"/>
                <w:lang w:eastAsia="en-US"/>
              </w:rPr>
              <w:t>处瑕疵，得</w:t>
            </w:r>
            <w:r>
              <w:rPr>
                <w:rFonts w:ascii="方正仿宋_GBK" w:eastAsia="方正仿宋_GBK" w:cs="方正仿宋_GBK" w:hint="eastAsia"/>
                <w:color w:val="000000"/>
                <w:sz w:val="24"/>
              </w:rPr>
              <w:t>6</w:t>
            </w:r>
            <w:r>
              <w:rPr>
                <w:rFonts w:ascii="方正仿宋_GBK" w:eastAsia="方正仿宋_GBK" w:cs="方正仿宋_GBK" w:hint="eastAsia"/>
                <w:color w:val="000000"/>
                <w:sz w:val="24"/>
                <w:lang w:eastAsia="en-US"/>
              </w:rPr>
              <w:t>分。</w:t>
            </w:r>
          </w:p>
          <w:p>
            <w:pPr>
              <w:spacing w:line="520" w:lineRule="exact"/>
              <w:ind w:firstLineChars="200" w:firstLine="480"/>
              <w:rPr>
                <w:rFonts w:ascii="方正仿宋_GBK" w:eastAsia="方正仿宋_GBK" w:cs="方正仿宋_GBK"/>
                <w:color w:val="000000"/>
                <w:sz w:val="24"/>
                <w:lang w:eastAsia="en-US"/>
              </w:rPr>
            </w:pPr>
            <w:r>
              <w:rPr>
                <w:rFonts w:ascii="方正仿宋_GBK" w:eastAsia="方正仿宋_GBK" w:cs="方正仿宋_GBK" w:hint="eastAsia"/>
                <w:color w:val="000000"/>
                <w:sz w:val="24"/>
                <w:lang w:eastAsia="en-US"/>
              </w:rPr>
              <w:t>方案内容存在</w:t>
            </w:r>
            <w:r>
              <w:rPr>
                <w:rFonts w:ascii="方正仿宋_GBK" w:eastAsia="方正仿宋_GBK" w:cs="方正仿宋_GBK" w:hint="eastAsia"/>
                <w:color w:val="000000"/>
                <w:sz w:val="24"/>
              </w:rPr>
              <w:t>1</w:t>
            </w:r>
            <w:r>
              <w:rPr>
                <w:rFonts w:ascii="方正仿宋_GBK" w:eastAsia="方正仿宋_GBK" w:cs="方正仿宋_GBK" w:hint="eastAsia"/>
                <w:color w:val="000000"/>
                <w:sz w:val="24"/>
                <w:lang w:eastAsia="en-US"/>
              </w:rPr>
              <w:t>处瑕疵，得</w:t>
            </w:r>
            <w:r>
              <w:rPr>
                <w:rFonts w:ascii="方正仿宋_GBK" w:eastAsia="方正仿宋_GBK" w:cs="方正仿宋_GBK" w:hint="eastAsia"/>
                <w:color w:val="000000"/>
                <w:sz w:val="24"/>
              </w:rPr>
              <w:t>4</w:t>
            </w:r>
            <w:r>
              <w:rPr>
                <w:rFonts w:ascii="方正仿宋_GBK" w:eastAsia="方正仿宋_GBK" w:cs="方正仿宋_GBK" w:hint="eastAsia"/>
                <w:color w:val="000000"/>
                <w:sz w:val="24"/>
                <w:lang w:eastAsia="en-US"/>
              </w:rPr>
              <w:t>分。</w:t>
            </w:r>
          </w:p>
          <w:p>
            <w:pPr>
              <w:spacing w:line="520" w:lineRule="exact"/>
              <w:ind w:firstLineChars="200" w:firstLine="480"/>
              <w:rPr>
                <w:rFonts w:ascii="方正仿宋_GBK" w:eastAsia="方正仿宋_GBK" w:cs="方正仿宋_GBK"/>
                <w:color w:val="000000"/>
                <w:sz w:val="24"/>
                <w:lang w:eastAsia="en-US"/>
              </w:rPr>
            </w:pPr>
            <w:r>
              <w:rPr>
                <w:rFonts w:ascii="方正仿宋_GBK" w:eastAsia="方正仿宋_GBK" w:cs="方正仿宋_GBK" w:hint="eastAsia"/>
                <w:color w:val="000000"/>
                <w:sz w:val="24"/>
                <w:lang w:eastAsia="en-US"/>
              </w:rPr>
              <w:t>方案内容存在</w:t>
            </w:r>
            <w:r>
              <w:rPr>
                <w:rFonts w:ascii="方正仿宋_GBK" w:eastAsia="方正仿宋_GBK" w:cs="方正仿宋_GBK" w:hint="eastAsia"/>
                <w:color w:val="000000"/>
                <w:sz w:val="24"/>
              </w:rPr>
              <w:t>2</w:t>
            </w:r>
            <w:r>
              <w:rPr>
                <w:rFonts w:ascii="方正仿宋_GBK" w:eastAsia="方正仿宋_GBK" w:cs="方正仿宋_GBK" w:hint="eastAsia"/>
                <w:color w:val="000000"/>
                <w:sz w:val="24"/>
                <w:lang w:eastAsia="en-US"/>
              </w:rPr>
              <w:t>处瑕疵，得</w:t>
            </w:r>
            <w:r>
              <w:rPr>
                <w:rFonts w:ascii="方正仿宋_GBK" w:eastAsia="方正仿宋_GBK" w:cs="方正仿宋_GBK" w:hint="eastAsia"/>
                <w:color w:val="000000"/>
                <w:sz w:val="24"/>
              </w:rPr>
              <w:t>2</w:t>
            </w:r>
            <w:r>
              <w:rPr>
                <w:rFonts w:ascii="方正仿宋_GBK" w:eastAsia="方正仿宋_GBK" w:cs="方正仿宋_GBK" w:hint="eastAsia"/>
                <w:color w:val="000000"/>
                <w:sz w:val="24"/>
                <w:lang w:eastAsia="en-US"/>
              </w:rPr>
              <w:t>分。</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方案内容存在3处</w:t>
            </w:r>
            <w:r>
              <w:rPr>
                <w:rFonts w:ascii="方正仿宋_GBK" w:eastAsia="方正仿宋_GBK" w:cs="方正仿宋_GBK" w:hint="eastAsia"/>
                <w:color w:val="000000"/>
                <w:sz w:val="24"/>
                <w:lang w:eastAsia="en-US"/>
              </w:rPr>
              <w:t>及以上瑕疵或未提供方案得0分</w:t>
            </w:r>
            <w:r>
              <w:rPr>
                <w:rFonts w:ascii="方正仿宋_GBK" w:eastAsia="方正仿宋_GBK" w:cs="方正仿宋_GBK" w:hint="eastAsia"/>
                <w:color w:val="000000"/>
                <w:sz w:val="24"/>
              </w:rPr>
              <w:t>。</w:t>
            </w:r>
          </w:p>
        </w:tc>
        <w:tc>
          <w:tcPr>
            <w:tcW w:w="2464" w:type="dxa"/>
            <w:vMerge/>
            <w:tcBorders>
              <w:bottom w:val="single" w:sz="4" w:space="0" w:color="auto"/>
            </w:tcBorders>
          </w:tcPr>
          <w:p/>
        </w:tc>
      </w:tr>
      <w:tr>
        <w:trPr>
          <w:trHeight w:val="646"/>
        </w:trPr>
        <w:tc>
          <w:tcPr>
            <w:tcW w:w="647" w:type="dxa"/>
            <w:vMerge w:val="restart"/>
            <w:shd w:val="clear" w:color="auto" w:fill="auto"/>
            <w:vAlign w:val="center"/>
          </w:tcPr>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3</w:t>
            </w:r>
          </w:p>
        </w:tc>
        <w:tc>
          <w:tcPr>
            <w:tcW w:w="1271" w:type="dxa"/>
            <w:vMerge w:val="restart"/>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商务部分（15%）</w:t>
            </w:r>
          </w:p>
        </w:tc>
        <w:tc>
          <w:tcPr>
            <w:tcW w:w="1246" w:type="dxa"/>
            <w:shd w:val="clear" w:color="auto" w:fill="auto"/>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技术实力与综合能力</w:t>
            </w:r>
          </w:p>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5分</w:t>
            </w:r>
          </w:p>
        </w:tc>
        <w:tc>
          <w:tcPr>
            <w:tcW w:w="3644" w:type="dxa"/>
            <w:shd w:val="clear" w:color="auto" w:fill="FFFFFF"/>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软件著作权：投标产品提供与“体检管理”、“健康管理”或“医疗信息化”相关的自主软件著作权登记证书，每提供1个得1分，本项最高得5分。</w:t>
            </w:r>
          </w:p>
        </w:tc>
        <w:tc>
          <w:tcPr>
            <w:tcW w:w="2464" w:type="dxa"/>
            <w:tcBorders>
              <w:top w:val="single" w:sz="4" w:space="0" w:color="auto"/>
            </w:tcBorders>
            <w:shd w:val="clear" w:color="auto" w:fill="FFFFFF"/>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提供计算机软件著作权登记证书复印件加盖公章。</w:t>
            </w:r>
          </w:p>
        </w:tc>
      </w:tr>
      <w:tr>
        <w:trPr>
          <w:trHeight w:val="646"/>
        </w:trPr>
        <w:tc>
          <w:tcPr>
            <w:tcW w:w="647" w:type="dxa"/>
            <w:vMerge/>
            <w:vAlign w:val="center"/>
          </w:tcPr>
          <w:p/>
        </w:tc>
        <w:tc>
          <w:tcPr>
            <w:tcW w:w="1271" w:type="dxa"/>
            <w:vMerge/>
            <w:vAlign w:val="center"/>
          </w:tcPr>
          <w:p/>
        </w:tc>
        <w:tc>
          <w:tcPr>
            <w:tcW w:w="1246" w:type="dxa"/>
            <w:vMerge w:val="restart"/>
            <w:shd w:val="clear" w:color="auto" w:fill="auto"/>
            <w:vAlign w:val="center"/>
          </w:tcPr>
          <w:p>
            <w:pPr>
              <w:spacing w:line="520" w:lineRule="exact"/>
              <w:rPr>
                <w:rFonts w:ascii="方正仿宋_GBK" w:eastAsia="方正仿宋_GBK" w:cs="方正仿宋_GBK"/>
                <w:color w:val="000000"/>
                <w:sz w:val="24"/>
              </w:rPr>
            </w:pPr>
          </w:p>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业绩</w:t>
            </w:r>
          </w:p>
          <w:p>
            <w:pPr>
              <w:spacing w:line="520" w:lineRule="exact"/>
              <w:ind w:firstLineChars="100" w:firstLine="240"/>
              <w:rPr>
                <w:rFonts w:ascii="方正仿宋_GBK" w:eastAsia="方正仿宋_GBK" w:cs="方正仿宋_GBK"/>
                <w:color w:val="000000"/>
                <w:sz w:val="24"/>
              </w:rPr>
            </w:pPr>
            <w:r>
              <w:rPr>
                <w:rFonts w:ascii="方正仿宋_GBK" w:eastAsia="方正仿宋_GBK" w:cs="方正仿宋_GBK" w:hint="eastAsia"/>
                <w:color w:val="000000"/>
                <w:sz w:val="24"/>
              </w:rPr>
              <w:t>10分</w:t>
            </w:r>
          </w:p>
        </w:tc>
        <w:tc>
          <w:tcPr>
            <w:tcW w:w="3644" w:type="dxa"/>
            <w:shd w:val="clear" w:color="auto" w:fill="FFFFFF"/>
            <w:vAlign w:val="center"/>
          </w:tcPr>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提供2023年1月以来包含有职业健康体检信息管理系统的合同，每提供1个类似合同，得3分，最高6分。</w:t>
            </w:r>
          </w:p>
        </w:tc>
        <w:tc>
          <w:tcPr>
            <w:tcW w:w="2464" w:type="dxa"/>
            <w:shd w:val="clear" w:color="auto" w:fill="FFFFFF"/>
            <w:vAlign w:val="center"/>
          </w:tcPr>
          <w:p>
            <w:p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提供业绩合同复印件。（包含合同内容、签章页等）复印件并加盖公章。</w:t>
            </w:r>
          </w:p>
        </w:tc>
      </w:tr>
      <w:tr>
        <w:trPr>
          <w:trHeight w:val="646"/>
        </w:trPr>
        <w:tc>
          <w:tcPr>
            <w:tcW w:w="647" w:type="dxa"/>
            <w:vMerge/>
            <w:shd w:val="clear" w:color="auto" w:fill="auto"/>
            <w:vAlign w:val="center"/>
          </w:tcPr>
          <w:p/>
        </w:tc>
        <w:tc>
          <w:tcPr>
            <w:tcW w:w="1271" w:type="dxa"/>
            <w:vMerge/>
            <w:shd w:val="clear" w:color="auto" w:fill="auto"/>
            <w:vAlign w:val="center"/>
          </w:tcPr>
          <w:p/>
        </w:tc>
        <w:tc>
          <w:tcPr>
            <w:tcW w:w="1246" w:type="dxa"/>
            <w:vMerge/>
            <w:shd w:val="clear" w:color="auto" w:fill="auto"/>
            <w:vAlign w:val="center"/>
          </w:tcPr>
          <w:p/>
        </w:tc>
        <w:tc>
          <w:tcPr>
            <w:tcW w:w="3644" w:type="dxa"/>
            <w:shd w:val="clear" w:color="auto" w:fill="FFFFFF"/>
            <w:vAlign w:val="center"/>
          </w:tcPr>
          <w:p>
            <w:pPr>
              <w:spacing w:line="520" w:lineRule="exact"/>
              <w:ind w:firstLineChars="200" w:firstLine="480"/>
              <w:rPr>
                <w:rFonts w:ascii="方正仿宋_GBK" w:eastAsia="方正仿宋_GBK" w:cs="方正仿宋_GBK"/>
                <w:sz w:val="24"/>
              </w:rPr>
            </w:pPr>
            <w:r>
              <w:rPr>
                <w:rFonts w:ascii="方正仿宋_GBK" w:eastAsia="方正仿宋_GBK" w:cs="方正仿宋_GBK" w:hint="eastAsia"/>
                <w:sz w:val="24"/>
              </w:rPr>
              <w:t>1.拟投入本项目的项目负责人具有效期内PMP证书得2分，最多得2分，未提供证书不得分。</w:t>
            </w:r>
          </w:p>
          <w:p>
            <w:pPr>
              <w:spacing w:line="520" w:lineRule="exact"/>
              <w:ind w:firstLineChars="200" w:firstLine="480"/>
              <w:rPr>
                <w:rFonts w:ascii="方正仿宋_GBK" w:eastAsia="方正仿宋_GBK" w:cs="方正仿宋_GBK"/>
                <w:color w:val="0000FF"/>
                <w:sz w:val="24"/>
              </w:rPr>
            </w:pPr>
            <w:r>
              <w:rPr>
                <w:rFonts w:ascii="方正仿宋_GBK" w:eastAsia="方正仿宋_GBK" w:cs="方正仿宋_GBK" w:hint="eastAsia"/>
                <w:sz w:val="24"/>
              </w:rPr>
              <w:t>2.本项目的项目负责人具有医疗信息化项目经验。提供1项目负责人得2分</w:t>
            </w:r>
            <w:r>
              <w:rPr>
                <w:rFonts w:ascii="方正仿宋_GBK" w:eastAsia="方正仿宋_GBK" w:cs="方正仿宋_GBK" w:hint="eastAsia"/>
                <w:sz w:val="24"/>
                <w:lang w:eastAsia="zh-CN"/>
              </w:rPr>
              <w:t>，</w:t>
            </w:r>
            <w:r>
              <w:rPr>
                <w:rFonts w:ascii="方正仿宋_GBK" w:eastAsia="方正仿宋_GBK" w:cs="方正仿宋_GBK" w:hint="eastAsia"/>
                <w:sz w:val="24"/>
              </w:rPr>
              <w:t>多得2分，未提供证书不得分。</w:t>
            </w:r>
          </w:p>
          <w:p>
            <w:pPr>
              <w:spacing w:line="520" w:lineRule="exact"/>
              <w:ind w:firstLineChars="200" w:firstLine="480"/>
              <w:rPr>
                <w:rFonts w:ascii="方正仿宋_GBK" w:eastAsia="方正仿宋_GBK" w:cs="方正仿宋_GBK"/>
                <w:color w:val="000000"/>
                <w:sz w:val="24"/>
              </w:rPr>
            </w:pPr>
          </w:p>
        </w:tc>
        <w:tc>
          <w:tcPr>
            <w:tcW w:w="2464" w:type="dxa"/>
            <w:shd w:val="clear" w:color="auto" w:fill="FFFFFF"/>
            <w:vAlign w:val="center"/>
          </w:tcPr>
          <w:p>
            <w:pPr>
              <w:numPr>
                <w:ilvl w:val="0"/>
                <w:numId w:val="5"/>
              </w:numPr>
              <w:spacing w:line="520" w:lineRule="exact"/>
              <w:rPr>
                <w:rFonts w:ascii="方正仿宋_GBK" w:eastAsia="方正仿宋_GBK" w:cs="方正仿宋_GBK"/>
                <w:color w:val="000000"/>
                <w:sz w:val="24"/>
              </w:rPr>
            </w:pPr>
            <w:r>
              <w:rPr>
                <w:rFonts w:ascii="方正仿宋_GBK" w:eastAsia="方正仿宋_GBK" w:cs="方正仿宋_GBK" w:hint="eastAsia"/>
                <w:color w:val="000000"/>
                <w:sz w:val="24"/>
              </w:rPr>
              <w:t>提供拟投入本项目负责人2026年1月至今任意一次投标人缴纳社保提供相关证明</w:t>
            </w:r>
          </w:p>
          <w:p>
            <w:pPr>
              <w:numPr>
                <w:ilvl w:val="0"/>
                <w:numId w:val="5"/>
              </w:numPr>
              <w:spacing w:line="520" w:lineRule="exact"/>
              <w:rPr>
                <w:rFonts w:ascii="方正仿宋_GBK" w:eastAsia="方正仿宋_GBK" w:cs="方正仿宋_GBK"/>
                <w:color w:val="000000"/>
                <w:sz w:val="24"/>
              </w:rPr>
            </w:pPr>
            <w:r>
              <w:rPr>
                <w:rFonts w:ascii="方正仿宋_GBK" w:eastAsia="方正仿宋_GBK" w:cs="方正仿宋_GBK" w:hint="eastAsia"/>
                <w:sz w:val="24"/>
              </w:rPr>
              <w:t>提供相关证明（同时提供项目合同及验收证明）。</w:t>
            </w:r>
          </w:p>
        </w:tc>
      </w:tr>
    </w:tbl>
    <w:p>
      <w:pPr>
        <w:spacing w:line="520" w:lineRule="exact"/>
        <w:rPr>
          <w:rFonts w:ascii="方正仿宋_GBK" w:eastAsia="方正仿宋_GBK" w:cs="方正仿宋_GBK"/>
          <w:color w:val="000000"/>
          <w:sz w:val="24"/>
        </w:rPr>
      </w:pPr>
    </w:p>
    <w:p>
      <w:pPr>
        <w:spacing w:line="520" w:lineRule="exact"/>
        <w:ind w:firstLineChars="200" w:firstLine="480"/>
        <w:rPr>
          <w:rFonts w:ascii="方正仿宋_GBK" w:eastAsia="方正仿宋_GBK" w:cs="方正仿宋_GBK"/>
          <w:color w:val="000000"/>
          <w:sz w:val="24"/>
        </w:rPr>
      </w:pPr>
      <w:bookmarkStart w:id="52" w:name="EB5d0b93ebd9aa4f308411a0ac4697b31c"/>
      <w:r>
        <w:rPr>
          <w:rFonts w:ascii="方正仿宋_GBK" w:eastAsia="方正仿宋_GBK" w:cs="方正仿宋_GBK" w:hint="eastAsia"/>
          <w:color w:val="000000"/>
          <w:sz w:val="24"/>
        </w:rPr>
        <w:t>注：</w:t>
      </w:r>
      <w:bookmarkEnd w:id="52"/>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1、评分分值及计算结果精确到小数点后二位，第三位四舍五入。</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2、评审时，评审小组各成员应当独立对每个有效供应商的报价文件进行评价、打分，然后汇总每个供应商每项评分因素的得分，取各评委评分的算术平均数作为供应商的评审最后得分，并以此作为排序、推荐的基础。</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3、评审小组按照评审最后得分由高到低的顺序对所有报价文件实质上响应比选文件要求的供应商进行排序；得分相同的，按报价由低到高顺序排列；得分和报价均相同的，按技术指标优劣(得分由高到低)顺序排列。比选小组将依次推荐排序为前三名的供应商为中标候选人。</w:t>
      </w:r>
    </w:p>
    <w:p>
      <w:pPr>
        <w:spacing w:line="520" w:lineRule="exact"/>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4、本项目将对提供了有效声明函的小型和微型企业及提供了相应证明文件的监狱企业制造的产品的价格给予本比选文件规定比例的扣除，用扣除后的价格参与评审打分。</w:t>
      </w: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rPr>
          <w:rFonts w:ascii="方正小标宋_GBK" w:eastAsia="方正小标宋_GBK" w:cs="方正小标宋_GBK" w:hint="eastAsia"/>
          <w:bCs/>
          <w:color w:val="000000"/>
          <w:sz w:val="28"/>
          <w:szCs w:val="28"/>
        </w:rPr>
      </w:pPr>
    </w:p>
    <w:p>
      <w:pPr>
        <w:pStyle w:val="1"/>
        <w:tabs>
          <w:tab w:val="left" w:pos="432"/>
        </w:tabs>
        <w:spacing w:line="520" w:lineRule="exact"/>
        <w:jc w:val="both"/>
        <w:rPr>
          <w:rFonts w:ascii="方正小标宋_GBK" w:eastAsia="方正小标宋_GBK" w:cs="方正小标宋_GBK" w:hint="eastAsia"/>
          <w:bCs/>
          <w:color w:val="000000"/>
          <w:sz w:val="28"/>
          <w:szCs w:val="28"/>
          <w:lang w:eastAsia="zh-CN"/>
        </w:rPr>
      </w:pPr>
    </w:p>
    <w:p>
      <w:pPr>
        <w:rPr>
          <w:rFonts w:ascii="方正小标宋_GBK" w:eastAsia="方正小标宋_GBK" w:cs="方正小标宋_GBK" w:hint="eastAsia"/>
          <w:bCs/>
          <w:color w:val="000000"/>
          <w:sz w:val="28"/>
          <w:szCs w:val="28"/>
          <w:lang w:eastAsia="zh-CN"/>
        </w:rPr>
      </w:pPr>
    </w:p>
    <w:p>
      <w:pPr>
        <w:rPr>
          <w:rFonts w:ascii="方正小标宋_GBK" w:eastAsia="方正小标宋_GBK" w:cs="方正小标宋_GBK" w:hint="eastAsia"/>
          <w:bCs/>
          <w:color w:val="000000"/>
          <w:sz w:val="28"/>
          <w:szCs w:val="28"/>
          <w:lang w:eastAsia="zh-CN"/>
        </w:rPr>
      </w:pPr>
    </w:p>
    <w:p>
      <w:pPr>
        <w:rPr>
          <w:rFonts w:ascii="方正小标宋_GBK" w:eastAsia="方正小标宋_GBK" w:cs="方正小标宋_GBK" w:hint="eastAsia"/>
          <w:bCs/>
          <w:color w:val="000000"/>
          <w:sz w:val="28"/>
          <w:szCs w:val="28"/>
          <w:lang w:eastAsia="zh-CN"/>
        </w:rPr>
      </w:pPr>
    </w:p>
    <w:p>
      <w:pPr>
        <w:pStyle w:val="1"/>
        <w:tabs>
          <w:tab w:val="left" w:pos="432"/>
        </w:tabs>
        <w:spacing w:line="520" w:lineRule="exact"/>
        <w:ind w:left="0" w:firstLine="0"/>
        <w:jc w:val="both"/>
        <w:rPr>
          <w:rFonts w:ascii="方正小标宋_GBK" w:eastAsia="方正小标宋_GBK" w:cs="方正小标宋_GBK"/>
          <w:bCs/>
          <w:kern w:val="0"/>
          <w:sz w:val="44"/>
          <w:szCs w:val="44"/>
          <w:lang w:val="en-US" w:eastAsia="zh-CN" w:bidi="ar-SA"/>
        </w:rPr>
      </w:pPr>
    </w:p>
    <w:p>
      <w:pPr>
        <w:jc w:val="both"/>
      </w:pPr>
    </w:p>
    <w:p>
      <w:pPr>
        <w:pStyle w:val="1"/>
        <w:tabs>
          <w:tab w:val="left" w:pos="432"/>
        </w:tabs>
        <w:spacing w:line="520" w:lineRule="exact"/>
        <w:ind w:left="0" w:firstLineChars="550" w:firstLine="2420"/>
        <w:jc w:val="both"/>
        <w:rPr>
          <w:rFonts w:hint="eastAsia"/>
          <w:sz w:val="24"/>
        </w:rPr>
      </w:pPr>
      <w:r>
        <w:rPr>
          <w:rFonts w:ascii="方正小标宋_GBK" w:eastAsia="方正小标宋_GBK" w:cs="方正小标宋_GBK" w:hint="eastAsia"/>
          <w:bCs/>
          <w:kern w:val="0"/>
          <w:sz w:val="44"/>
          <w:szCs w:val="44"/>
          <w:lang w:val="en-US" w:eastAsia="zh-CN" w:bidi="ar-SA"/>
        </w:rPr>
        <w:t>第四章  合同条款(样本)</w:t>
      </w:r>
      <w:r>
        <w:rPr>
          <w:rFonts w:hint="eastAsia"/>
          <w:sz w:val="24"/>
        </w:rPr>
        <w:t xml:space="preserve">           </w:t>
      </w:r>
    </w:p>
    <w:p>
      <w:pPr>
        <w:spacing w:line="520" w:lineRule="exact"/>
        <w:rPr>
          <w:rFonts w:ascii="方正仿宋_GBK" w:eastAsia="方正仿宋_GBK" w:cs="方正仿宋_GBK" w:hint="eastAsia"/>
          <w:color w:val="000000"/>
          <w:sz w:val="24"/>
        </w:rPr>
      </w:pPr>
      <w:r>
        <w:rPr>
          <w:rFonts w:ascii="方正仿宋_GBK" w:eastAsia="方正仿宋_GBK" w:cs="方正仿宋_GBK" w:hint="eastAsia"/>
          <w:color w:val="000000"/>
          <w:sz w:val="24"/>
        </w:rPr>
        <w:t>甲方：重庆国际旅行卫生保健中心（重庆海关口岸工作部）</w:t>
      </w:r>
    </w:p>
    <w:p>
      <w:pPr>
        <w:spacing w:line="520" w:lineRule="exact"/>
      </w:pPr>
      <w:r>
        <w:rPr>
          <w:rFonts w:ascii="方正仿宋_GBK" w:eastAsia="方正仿宋_GBK" w:cs="方正仿宋_GBK" w:hint="eastAsia"/>
          <w:color w:val="000000"/>
          <w:sz w:val="24"/>
        </w:rPr>
        <w:t>乙方：</w:t>
      </w:r>
    </w:p>
    <w:p>
      <w:pPr>
        <w:pStyle w:val="81"/>
        <w:rPr>
          <w:rFonts w:ascii="方正仿宋_GBK" w:eastAsia="方正仿宋_GBK" w:cs="方正仿宋_GBK"/>
          <w:bCs w:val="0"/>
          <w:szCs w:val="24"/>
        </w:rPr>
      </w:pPr>
      <w:bookmarkStart w:id="53" w:name="_Toc19156"/>
      <w:r>
        <w:rPr>
          <w:rFonts w:ascii="方正仿宋_GBK" w:eastAsia="方正仿宋_GBK" w:cs="方正仿宋_GBK" w:hint="eastAsia"/>
          <w:bCs w:val="0"/>
          <w:szCs w:val="24"/>
        </w:rPr>
        <w:t>甲乙双方根据《中华人民共和国民法典》、《中华人民共和国著作权法》、《中华人民共和国计算机软件保护条例》及国家其他相关法律、法规，为明确双方权利义务关系，经友好协商，在平等互利的基础上签定本合同。</w:t>
      </w:r>
    </w:p>
    <w:p>
      <w:pPr>
        <w:pStyle w:val="1"/>
        <w:numPr>
          <w:ilvl w:val="0"/>
          <w:numId w:val="6"/>
        </w:numPr>
        <w:tabs>
          <w:tab w:val="left" w:pos="432"/>
        </w:tabs>
        <w:rPr>
          <w:rFonts w:ascii="方正仿宋_GBK" w:eastAsia="方正仿宋_GBK" w:cs="方正仿宋_GBK"/>
          <w:color w:val="000000"/>
          <w:kern w:val="2"/>
          <w:sz w:val="24"/>
          <w:szCs w:val="24"/>
        </w:rPr>
      </w:pPr>
      <w:r>
        <w:rPr>
          <w:rFonts w:ascii="方正仿宋_GBK" w:eastAsia="方正仿宋_GBK" w:cs="方正仿宋_GBK" w:hint="eastAsia"/>
          <w:color w:val="000000"/>
          <w:kern w:val="2"/>
          <w:sz w:val="24"/>
          <w:szCs w:val="24"/>
        </w:rPr>
        <w:t xml:space="preserve"> 合同标的</w:t>
      </w:r>
    </w:p>
    <w:tbl>
      <w:tblPr>
        <w:jc w:val="left"/>
        <w:tblInd w:w="0" w:type="dxa"/>
        <w:tblW w:w="4996"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927"/>
        <w:gridCol w:w="2355"/>
        <w:gridCol w:w="1703"/>
        <w:gridCol w:w="1149"/>
        <w:gridCol w:w="3599"/>
      </w:tblGrid>
      <w:tr>
        <w:trPr>
          <w:trHeight w:val="940"/>
        </w:trPr>
        <w:tc>
          <w:tcPr>
            <w:tcW w:w="476"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序号</w:t>
            </w:r>
          </w:p>
        </w:tc>
        <w:tc>
          <w:tcPr>
            <w:tcW w:w="1210"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产品名称</w:t>
            </w:r>
          </w:p>
        </w:tc>
        <w:tc>
          <w:tcPr>
            <w:tcW w:w="875"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hint="eastAsia"/>
                <w:color w:val="000000"/>
                <w:sz w:val="24"/>
                <w:lang w:eastAsia="zh-CN"/>
              </w:rPr>
            </w:pPr>
            <w:r>
              <w:rPr>
                <w:rFonts w:ascii="方正仿宋_GBK" w:eastAsia="方正仿宋_GBK" w:cs="方正仿宋_GBK" w:hint="eastAsia"/>
                <w:color w:val="000000"/>
                <w:sz w:val="24"/>
                <w:lang w:eastAsia="zh-CN"/>
              </w:rPr>
              <w:t>品牌</w:t>
            </w:r>
          </w:p>
        </w:tc>
        <w:tc>
          <w:tcPr>
            <w:tcW w:w="590"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数量</w:t>
            </w:r>
          </w:p>
        </w:tc>
        <w:tc>
          <w:tcPr>
            <w:tcW w:w="1848"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备注</w:t>
            </w:r>
          </w:p>
        </w:tc>
      </w:tr>
      <w:tr>
        <w:trPr>
          <w:trHeight w:val="846"/>
        </w:trPr>
        <w:tc>
          <w:tcPr>
            <w:tcW w:w="476"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1</w:t>
            </w:r>
          </w:p>
        </w:tc>
        <w:tc>
          <w:tcPr>
            <w:tcW w:w="1210"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color w:val="000000"/>
                <w:sz w:val="24"/>
              </w:rPr>
            </w:pPr>
          </w:p>
        </w:tc>
        <w:tc>
          <w:tcPr>
            <w:tcW w:w="875"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color w:val="000000"/>
                <w:sz w:val="24"/>
              </w:rPr>
            </w:pPr>
          </w:p>
        </w:tc>
        <w:tc>
          <w:tcPr>
            <w:tcW w:w="590"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1</w:t>
            </w:r>
          </w:p>
        </w:tc>
        <w:tc>
          <w:tcPr>
            <w:tcW w:w="1848" w:type="pct"/>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rFonts w:ascii="方正仿宋_GBK" w:eastAsia="方正仿宋_GBK" w:cs="方正仿宋_GBK"/>
                <w:color w:val="000000"/>
                <w:sz w:val="24"/>
              </w:rPr>
            </w:pPr>
          </w:p>
        </w:tc>
      </w:tr>
      <w:tr>
        <w:trPr>
          <w:trHeight w:val="75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合计金额（小写）：      元</w:t>
            </w:r>
          </w:p>
        </w:tc>
      </w:tr>
      <w:tr>
        <w:trPr>
          <w:trHeight w:val="799"/>
        </w:trPr>
        <w:tc>
          <w:tcPr>
            <w:tcW w:w="5000" w:type="pct"/>
            <w:gridSpan w:val="5"/>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合计金额（大写）：        元整</w:t>
            </w:r>
          </w:p>
        </w:tc>
      </w:tr>
      <w:tr>
        <w:trPr>
          <w:trHeight w:val="525"/>
        </w:trPr>
        <w:tc>
          <w:tcPr>
            <w:tcW w:w="5000" w:type="pct"/>
            <w:gridSpan w:val="5"/>
            <w:tcBorders>
              <w:top w:val="single" w:sz="4" w:space="0" w:color="000000"/>
              <w:left w:val="single" w:sz="4" w:space="0" w:color="000000"/>
              <w:bottom w:val="single" w:sz="4" w:space="0" w:color="000000"/>
              <w:right w:val="single" w:sz="4" w:space="0" w:color="000000"/>
            </w:tcBorders>
            <w:vAlign w:val="center"/>
          </w:tcPr>
          <w:p>
            <w:pPr>
              <w:widowControl/>
              <w:jc w:val="left"/>
              <w:textAlignment w:val="center"/>
              <w:rPr>
                <w:rFonts w:ascii="方正仿宋_GBK" w:eastAsia="方正仿宋_GBK" w:cs="方正仿宋_GBK"/>
                <w:color w:val="000000"/>
                <w:sz w:val="24"/>
              </w:rPr>
            </w:pPr>
            <w:r>
              <w:rPr>
                <w:rFonts w:ascii="方正仿宋_GBK" w:eastAsia="方正仿宋_GBK" w:cs="方正仿宋_GBK" w:hint="eastAsia"/>
                <w:color w:val="000000"/>
                <w:sz w:val="24"/>
              </w:rPr>
              <w:t>备注：价格包含：</w:t>
            </w:r>
            <w:r>
              <w:rPr>
                <w:rFonts w:ascii="方正仿宋_GBK" w:eastAsia="方正仿宋_GBK" w:cs="方正仿宋_GBK" w:hint="eastAsia"/>
                <w:color w:val="000000"/>
                <w:sz w:val="24"/>
                <w:lang w:eastAsia="zh-CN"/>
              </w:rPr>
              <w:t>人工费、</w:t>
            </w:r>
            <w:r>
              <w:rPr>
                <w:rFonts w:ascii="方正仿宋_GBK" w:eastAsia="方正仿宋_GBK" w:cs="方正仿宋_GBK" w:hint="eastAsia"/>
                <w:color w:val="000000"/>
                <w:sz w:val="24"/>
              </w:rPr>
              <w:t>安装调试、培训、差旅交通费、税费</w:t>
            </w:r>
            <w:r>
              <w:rPr>
                <w:rFonts w:ascii="方正仿宋_GBK" w:eastAsia="方正仿宋_GBK" w:cs="方正仿宋_GBK" w:hint="eastAsia"/>
                <w:color w:val="000000"/>
                <w:sz w:val="24"/>
                <w:lang w:eastAsia="zh-CN"/>
              </w:rPr>
              <w:t>、</w:t>
            </w:r>
            <w:r>
              <w:rPr>
                <w:rFonts w:ascii="方正仿宋_GBK" w:eastAsia="方正仿宋_GBK" w:cs="方正仿宋_GBK" w:hint="eastAsia"/>
                <w:color w:val="000000"/>
                <w:sz w:val="24"/>
              </w:rPr>
              <w:t>系统质保。</w:t>
            </w:r>
          </w:p>
        </w:tc>
      </w:tr>
    </w:tbl>
    <w:p>
      <w:pPr>
        <w:ind w:left="0" w:right="180"/>
        <w:rPr>
          <w:rFonts w:ascii="方正仿宋_GBK" w:eastAsia="方正仿宋_GBK" w:cs="方正仿宋_GBK"/>
          <w:color w:val="000000"/>
          <w:sz w:val="24"/>
        </w:rPr>
      </w:pPr>
    </w:p>
    <w:p>
      <w:pPr>
        <w:pStyle w:val="1"/>
        <w:numPr>
          <w:ilvl w:val="0"/>
          <w:numId w:val="6"/>
        </w:numPr>
        <w:tabs>
          <w:tab w:val="left" w:pos="432"/>
        </w:tabs>
        <w:ind w:left="0" w:firstLine="0"/>
        <w:rPr>
          <w:rFonts w:ascii="方正仿宋_GBK" w:eastAsia="方正仿宋_GBK" w:cs="方正仿宋_GBK"/>
          <w:color w:val="000000"/>
          <w:kern w:val="2"/>
          <w:sz w:val="24"/>
          <w:szCs w:val="24"/>
        </w:rPr>
      </w:pPr>
      <w:r>
        <w:rPr>
          <w:rFonts w:ascii="方正仿宋_GBK" w:eastAsia="方正仿宋_GBK" w:cs="方正仿宋_GBK" w:hint="eastAsia"/>
          <w:color w:val="000000"/>
          <w:kern w:val="2"/>
          <w:sz w:val="24"/>
          <w:szCs w:val="24"/>
        </w:rPr>
        <w:t xml:space="preserve"> 质量标准</w:t>
      </w:r>
    </w:p>
    <w:p>
      <w:pPr>
        <w:ind w:firstLineChars="200" w:firstLine="480"/>
        <w:rPr>
          <w:rFonts w:ascii="方正仿宋_GBK" w:eastAsia="方正仿宋_GBK" w:cs="方正仿宋_GBK"/>
          <w:color w:val="000000"/>
          <w:sz w:val="24"/>
        </w:rPr>
      </w:pPr>
      <w:r>
        <w:rPr>
          <w:rFonts w:ascii="方正仿宋_GBK" w:eastAsia="方正仿宋_GBK" w:cs="方正仿宋_GBK" w:hint="eastAsia"/>
          <w:color w:val="000000"/>
          <w:sz w:val="24"/>
        </w:rPr>
        <w:t>乙方保证所提供系统为原装正版。</w:t>
      </w:r>
    </w:p>
    <w:p>
      <w:pPr>
        <w:pStyle w:val="1"/>
        <w:numPr>
          <w:ilvl w:val="0"/>
          <w:numId w:val="6"/>
        </w:numPr>
        <w:tabs>
          <w:tab w:val="left" w:pos="432"/>
        </w:tabs>
        <w:ind w:left="0" w:firstLine="0"/>
        <w:rPr>
          <w:rFonts w:ascii="方正仿宋_GBK" w:eastAsia="方正仿宋_GBK" w:cs="方正仿宋_GBK"/>
          <w:color w:val="000000"/>
          <w:kern w:val="2"/>
          <w:sz w:val="24"/>
          <w:szCs w:val="24"/>
        </w:rPr>
      </w:pPr>
      <w:r>
        <w:rPr>
          <w:rFonts w:ascii="方正仿宋_GBK" w:eastAsia="方正仿宋_GBK" w:cs="方正仿宋_GBK" w:hint="eastAsia"/>
          <w:color w:val="000000"/>
          <w:kern w:val="2"/>
          <w:sz w:val="24"/>
          <w:szCs w:val="24"/>
        </w:rPr>
        <w:t xml:space="preserve"> 安装 调试 验收</w:t>
      </w:r>
    </w:p>
    <w:p>
      <w:pPr>
        <w:rPr>
          <w:rFonts w:ascii="方正仿宋_GBK" w:eastAsia="方正仿宋_GBK" w:cs="方正仿宋_GBK"/>
          <w:color w:val="000000"/>
          <w:sz w:val="24"/>
        </w:rPr>
      </w:pPr>
      <w:r>
        <w:rPr>
          <w:rFonts w:ascii="方正仿宋_GBK" w:eastAsia="方正仿宋_GBK" w:cs="方正仿宋_GBK" w:hint="eastAsia"/>
          <w:color w:val="000000"/>
          <w:sz w:val="24"/>
        </w:rPr>
        <w:t>3.1  在合同签订后，乙方按甲方需求完成软件安装与调试及仪器设备接口开发工作，设备采购到位后</w:t>
      </w:r>
      <w:r>
        <w:rPr>
          <w:rFonts w:ascii="方正仿宋_GBK" w:eastAsia="方正仿宋_GBK" w:cs="方正仿宋_GBK" w:hint="eastAsia"/>
          <w:color w:val="000000"/>
          <w:sz w:val="24"/>
          <w:lang w:val="en-US" w:eastAsia="zh-CN"/>
        </w:rPr>
        <w:t>15日历日</w:t>
      </w:r>
      <w:r>
        <w:rPr>
          <w:rFonts w:ascii="方正仿宋_GBK" w:eastAsia="方正仿宋_GBK" w:cs="方正仿宋_GBK" w:hint="eastAsia"/>
          <w:color w:val="000000"/>
          <w:sz w:val="24"/>
        </w:rPr>
        <w:t>内完成。</w:t>
      </w:r>
    </w:p>
    <w:p>
      <w:pPr>
        <w:rPr>
          <w:rFonts w:ascii="方正仿宋_GBK" w:eastAsia="方正仿宋_GBK" w:cs="方正仿宋_GBK"/>
          <w:color w:val="000000"/>
          <w:sz w:val="24"/>
        </w:rPr>
      </w:pPr>
      <w:r>
        <w:rPr>
          <w:rFonts w:ascii="方正仿宋_GBK" w:eastAsia="方正仿宋_GBK" w:cs="方正仿宋_GBK" w:hint="eastAsia"/>
          <w:color w:val="000000"/>
          <w:sz w:val="24"/>
        </w:rPr>
        <w:t>3.2  软件系统安装完成运行30个日历天，甲方负责组织验收。</w:t>
      </w:r>
    </w:p>
    <w:p>
      <w:pPr>
        <w:pStyle w:val="1"/>
        <w:tabs>
          <w:tab w:val="left" w:pos="432"/>
        </w:tabs>
        <w:rPr>
          <w:rFonts w:ascii="方正仿宋_GBK" w:eastAsia="方正仿宋_GBK" w:cs="方正仿宋_GBK"/>
          <w:color w:val="000000"/>
          <w:kern w:val="2"/>
          <w:sz w:val="24"/>
          <w:szCs w:val="24"/>
        </w:rPr>
      </w:pPr>
      <w:r>
        <w:rPr>
          <w:rFonts w:ascii="方正仿宋_GBK" w:eastAsia="方正仿宋_GBK" w:cs="方正仿宋_GBK" w:hint="eastAsia"/>
          <w:color w:val="000000"/>
          <w:kern w:val="2"/>
          <w:sz w:val="24"/>
          <w:szCs w:val="24"/>
        </w:rPr>
        <w:t>第四条  培训及方式</w:t>
      </w:r>
    </w:p>
    <w:p>
      <w:pPr>
        <w:rPr>
          <w:rFonts w:ascii="方正仿宋_GBK" w:eastAsia="方正仿宋_GBK" w:cs="方正仿宋_GBK"/>
          <w:color w:val="000000"/>
          <w:sz w:val="24"/>
        </w:rPr>
      </w:pPr>
      <w:r>
        <w:rPr>
          <w:rFonts w:ascii="方正仿宋_GBK" w:eastAsia="方正仿宋_GBK" w:cs="方正仿宋_GBK" w:hint="eastAsia"/>
          <w:color w:val="000000"/>
          <w:sz w:val="24"/>
        </w:rPr>
        <w:tab/>
        <w:t>乙方为甲方提供软件操作的免费培训，培训方式：集中培训/逐岗培训。</w:t>
      </w:r>
    </w:p>
    <w:p>
      <w:pPr>
        <w:pStyle w:val="1"/>
        <w:tabs>
          <w:tab w:val="left" w:pos="432"/>
        </w:tabs>
        <w:rPr>
          <w:rFonts w:ascii="方正仿宋_GBK" w:eastAsia="方正仿宋_GBK" w:cs="方正仿宋_GBK"/>
          <w:color w:val="000000"/>
          <w:kern w:val="2"/>
          <w:sz w:val="24"/>
          <w:szCs w:val="24"/>
        </w:rPr>
      </w:pPr>
      <w:r>
        <w:rPr>
          <w:rFonts w:ascii="方正仿宋_GBK" w:eastAsia="方正仿宋_GBK" w:cs="方正仿宋_GBK" w:hint="eastAsia"/>
          <w:color w:val="000000"/>
          <w:kern w:val="2"/>
          <w:sz w:val="24"/>
          <w:szCs w:val="24"/>
        </w:rPr>
        <w:t>第五条  结算方式和期限</w:t>
      </w:r>
    </w:p>
    <w:p>
      <w:pPr>
        <w:rPr>
          <w:rFonts w:ascii="方正仿宋_GBK" w:eastAsia="方正仿宋_GBK" w:cs="方正仿宋_GBK"/>
          <w:color w:val="000000"/>
          <w:sz w:val="24"/>
        </w:rPr>
      </w:pPr>
      <w:r>
        <w:rPr>
          <w:rFonts w:ascii="方正仿宋_GBK" w:eastAsia="方正仿宋_GBK" w:cs="方正仿宋_GBK" w:hint="eastAsia"/>
          <w:color w:val="000000"/>
          <w:sz w:val="24"/>
        </w:rPr>
        <w:t>5.1  甲方按照本合同提供的乙方帐户资料，以银行转账结算方式支付软件款。</w:t>
      </w:r>
    </w:p>
    <w:p>
      <w:pPr>
        <w:ind w:firstLine="420"/>
        <w:rPr>
          <w:rFonts w:ascii="方正仿宋_GBK" w:eastAsia="方正仿宋_GBK" w:cs="方正仿宋_GBK"/>
          <w:color w:val="000000"/>
          <w:sz w:val="24"/>
        </w:rPr>
      </w:pPr>
      <w:r>
        <w:rPr>
          <w:rFonts w:ascii="方正仿宋_GBK" w:eastAsia="方正仿宋_GBK" w:cs="方正仿宋_GBK" w:hint="eastAsia"/>
          <w:color w:val="000000"/>
          <w:sz w:val="24"/>
        </w:rPr>
        <w:t>乙方帐户资料：</w:t>
      </w:r>
    </w:p>
    <w:p>
      <w:pPr>
        <w:ind w:right="181" w:firstLine="425"/>
        <w:rPr>
          <w:rFonts w:ascii="方正仿宋_GBK" w:eastAsia="方正仿宋_GBK" w:cs="方正仿宋_GBK"/>
          <w:color w:val="000000"/>
          <w:sz w:val="24"/>
        </w:rPr>
      </w:pPr>
      <w:r>
        <w:rPr>
          <w:rFonts w:ascii="方正仿宋_GBK" w:eastAsia="方正仿宋_GBK" w:cs="方正仿宋_GBK" w:hint="eastAsia"/>
          <w:color w:val="000000"/>
          <w:sz w:val="24"/>
        </w:rPr>
        <w:t xml:space="preserve">户    名：                                 开户行：             </w:t>
      </w:r>
    </w:p>
    <w:p>
      <w:pPr>
        <w:ind w:right="180" w:firstLine="425"/>
        <w:rPr>
          <w:rFonts w:ascii="方正仿宋_GBK" w:eastAsia="方正仿宋_GBK" w:cs="方正仿宋_GBK"/>
          <w:color w:val="000000"/>
          <w:sz w:val="24"/>
        </w:rPr>
      </w:pPr>
      <w:r>
        <w:rPr>
          <w:rFonts w:ascii="方正仿宋_GBK" w:eastAsia="方正仿宋_GBK" w:cs="方正仿宋_GBK" w:hint="eastAsia"/>
          <w:color w:val="000000"/>
          <w:sz w:val="24"/>
        </w:rPr>
        <w:t xml:space="preserve">帐    号：                                       </w:t>
      </w:r>
    </w:p>
    <w:p>
      <w:pPr>
        <w:rPr>
          <w:rFonts w:ascii="方正仿宋_GBK" w:eastAsia="方正仿宋_GBK" w:cs="方正仿宋_GBK"/>
          <w:color w:val="000000"/>
          <w:sz w:val="24"/>
        </w:rPr>
      </w:pPr>
      <w:r>
        <w:rPr>
          <w:rFonts w:ascii="方正仿宋_GBK" w:eastAsia="方正仿宋_GBK" w:cs="方正仿宋_GBK" w:hint="eastAsia"/>
          <w:color w:val="000000"/>
          <w:sz w:val="24"/>
        </w:rPr>
        <w:t>5.2  付款条件及期限的约定：</w:t>
      </w:r>
    </w:p>
    <w:p>
      <w:pPr>
        <w:ind w:firstLine="420"/>
        <w:rPr>
          <w:rFonts w:ascii="方正仿宋_GBK" w:eastAsia="方正仿宋_GBK" w:cs="方正仿宋_GBK"/>
          <w:color w:val="000000"/>
          <w:sz w:val="24"/>
        </w:rPr>
      </w:pPr>
      <w:r>
        <w:rPr>
          <w:rFonts w:ascii="方正仿宋_GBK" w:eastAsia="方正仿宋_GBK" w:cs="方正仿宋_GBK" w:hint="eastAsia"/>
          <w:color w:val="000000"/>
          <w:sz w:val="24"/>
        </w:rPr>
        <w:t>（1）本合同总价款         元（含税，大写：      元整）。</w:t>
      </w:r>
    </w:p>
    <w:p>
      <w:pPr>
        <w:ind w:firstLine="420"/>
        <w:rPr>
          <w:rFonts w:ascii="方正仿宋_GBK" w:eastAsia="方正仿宋_GBK" w:cs="方正仿宋_GBK"/>
          <w:color w:val="000000"/>
          <w:sz w:val="24"/>
        </w:rPr>
      </w:pPr>
      <w:r>
        <w:rPr>
          <w:rFonts w:ascii="方正仿宋_GBK" w:eastAsia="方正仿宋_GBK" w:cs="方正仿宋_GBK" w:hint="eastAsia"/>
          <w:color w:val="000000"/>
          <w:sz w:val="24"/>
        </w:rPr>
        <w:t>付款方式：经采购人验收合格后，成交供应商提供增值税发票、付款申请书、验收报告，采购人向成交供应商支付合同总金额的100%。</w:t>
      </w:r>
    </w:p>
    <w:p>
      <w:pPr>
        <w:pStyle w:val="1"/>
        <w:tabs>
          <w:tab w:val="left" w:pos="432"/>
        </w:tabs>
        <w:rPr>
          <w:rFonts w:ascii="方正仿宋_GBK" w:eastAsia="方正仿宋_GBK" w:cs="方正仿宋_GBK" w:hint="eastAsia"/>
          <w:kern w:val="2"/>
          <w:sz w:val="24"/>
          <w:szCs w:val="24"/>
          <w:lang w:val="en-US" w:eastAsia="zh-CN" w:bidi="ar-SA"/>
        </w:rPr>
      </w:pPr>
      <w:r>
        <w:rPr>
          <w:rFonts w:ascii="方正仿宋_GBK" w:eastAsia="方正仿宋_GBK" w:cs="方正仿宋_GBK" w:hint="eastAsia"/>
          <w:kern w:val="2"/>
          <w:sz w:val="24"/>
          <w:szCs w:val="24"/>
          <w:lang w:val="en-US" w:eastAsia="zh-CN" w:bidi="ar-SA"/>
        </w:rPr>
        <w:t>第六条  知识产权</w:t>
      </w:r>
    </w:p>
    <w:p>
      <w:pPr>
        <w:rPr>
          <w:rFonts w:ascii="方正仿宋_GBK" w:eastAsia="方正仿宋_GBK" w:cs="方正仿宋_GBK" w:hint="eastAsia"/>
          <w:kern w:val="2"/>
          <w:sz w:val="24"/>
          <w:szCs w:val="24"/>
          <w:lang w:val="en-US" w:eastAsia="zh-CN" w:bidi="ar-SA"/>
        </w:rPr>
      </w:pPr>
      <w:r>
        <w:rPr>
          <w:rFonts w:ascii="方正仿宋_GBK" w:eastAsia="方正仿宋_GBK" w:cs="方正仿宋_GBK" w:hint="eastAsia"/>
          <w:kern w:val="2"/>
          <w:sz w:val="24"/>
          <w:szCs w:val="24"/>
          <w:lang w:val="en-US" w:eastAsia="zh-CN" w:bidi="ar-SA"/>
        </w:rPr>
        <w:tab/>
        <w:t>/</w:t>
      </w:r>
    </w:p>
    <w:p>
      <w:pPr>
        <w:pStyle w:val="1"/>
        <w:tabs>
          <w:tab w:val="left" w:pos="432"/>
        </w:tabs>
        <w:rPr>
          <w:rFonts w:ascii="方正仿宋_GBK" w:eastAsia="方正仿宋_GBK" w:cs="方正仿宋_GBK" w:hint="eastAsia"/>
          <w:kern w:val="2"/>
          <w:sz w:val="24"/>
          <w:szCs w:val="24"/>
          <w:lang w:val="en-US" w:eastAsia="zh-CN" w:bidi="ar-SA"/>
        </w:rPr>
      </w:pPr>
      <w:r>
        <w:rPr>
          <w:rFonts w:ascii="方正仿宋_GBK" w:eastAsia="方正仿宋_GBK" w:cs="方正仿宋_GBK" w:hint="eastAsia"/>
          <w:kern w:val="2"/>
          <w:sz w:val="24"/>
          <w:szCs w:val="24"/>
          <w:lang w:val="en-US" w:eastAsia="zh-CN" w:bidi="ar-SA"/>
        </w:rPr>
        <w:t>第七条  售后服务内容、方式及费用</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color w:val="000000"/>
          <w:sz w:val="24"/>
        </w:rPr>
        <w:t xml:space="preserve">7.1 </w:t>
      </w:r>
      <w:r>
        <w:rPr>
          <w:rFonts w:ascii="方正仿宋_GBK" w:eastAsia="方正仿宋_GBK" w:cs="方正仿宋_GBK" w:hint="eastAsia"/>
          <w:sz w:val="24"/>
          <w:szCs w:val="24"/>
          <w:lang w:val="en-US" w:eastAsia="zh-CN"/>
        </w:rPr>
        <w:t>质保售后服务期要求：本产品质量保证期与免费维</w:t>
      </w:r>
      <w:r>
        <w:rPr>
          <w:rFonts w:ascii="方正仿宋_GBK" w:eastAsia="方正仿宋_GBK" w:cs="方正仿宋_GBK" w:hint="eastAsia"/>
          <w:color w:val="auto"/>
          <w:sz w:val="24"/>
          <w:szCs w:val="24"/>
          <w:lang w:val="en-US" w:eastAsia="zh-CN"/>
        </w:rPr>
        <w:t>护</w:t>
      </w:r>
      <w:r>
        <w:rPr>
          <w:rFonts w:ascii="方正仿宋_GBK" w:eastAsia="方正仿宋_GBK" w:cs="方正仿宋_GBK" w:hint="eastAsia"/>
          <w:sz w:val="24"/>
          <w:szCs w:val="24"/>
          <w:lang w:val="en-US" w:eastAsia="zh-CN"/>
        </w:rPr>
        <w:t>服务期为验收合格之日起1年</w:t>
      </w:r>
      <w:r>
        <w:rPr>
          <w:rFonts w:ascii="方正仿宋_GBK" w:eastAsia="方正仿宋_GBK" w:cs="方正仿宋_GBK" w:hint="eastAsia"/>
          <w:color w:val="auto"/>
          <w:sz w:val="24"/>
          <w:szCs w:val="24"/>
          <w:lang w:val="en-US" w:eastAsia="zh-CN"/>
        </w:rPr>
        <w:t>及以</w:t>
      </w:r>
      <w:r>
        <w:rPr>
          <w:rFonts w:ascii="方正仿宋_GBK" w:eastAsia="方正仿宋_GBK" w:cs="方正仿宋_GBK" w:hint="eastAsia"/>
          <w:sz w:val="24"/>
          <w:szCs w:val="24"/>
          <w:lang w:val="en-US" w:eastAsia="zh-CN"/>
        </w:rPr>
        <w:t>上。</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7.2交货时间：合同签订后15日历天调试安装完成。</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7.3服务地点：重庆国际旅行卫生保健中心指定地点。</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7.4验收方式：</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7.4.1.满足以下条件时，视同验收合格：</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color w:val="auto"/>
          <w:sz w:val="24"/>
          <w:szCs w:val="24"/>
          <w:lang w:val="en-US" w:eastAsia="zh-CN"/>
        </w:rPr>
      </w:pPr>
      <w:r>
        <w:rPr>
          <w:rFonts w:ascii="方正仿宋_GBK" w:eastAsia="方正仿宋_GBK" w:cs="方正仿宋_GBK" w:hint="eastAsia"/>
          <w:sz w:val="24"/>
          <w:szCs w:val="24"/>
          <w:lang w:val="en-US" w:eastAsia="zh-CN"/>
        </w:rPr>
        <w:t>（1）技术参数</w:t>
      </w:r>
      <w:r>
        <w:rPr>
          <w:rFonts w:ascii="方正仿宋_GBK" w:eastAsia="方正仿宋_GBK" w:cs="方正仿宋_GBK" w:hint="eastAsia"/>
          <w:color w:val="auto"/>
          <w:sz w:val="24"/>
          <w:szCs w:val="24"/>
          <w:lang w:val="en-US" w:eastAsia="zh-CN"/>
        </w:rPr>
        <w:t>与响应文件及承诺一致，在运行使用一个月以内质量指标达到或超过规定的标准。</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color w:val="auto"/>
          <w:sz w:val="24"/>
          <w:szCs w:val="24"/>
          <w:lang w:val="en-US" w:eastAsia="zh-CN"/>
        </w:rPr>
      </w:pPr>
      <w:r>
        <w:rPr>
          <w:rFonts w:ascii="方正仿宋_GBK" w:eastAsia="方正仿宋_GBK" w:cs="方正仿宋_GBK" w:hint="eastAsia"/>
          <w:color w:val="auto"/>
          <w:sz w:val="24"/>
          <w:szCs w:val="24"/>
          <w:lang w:val="en-US" w:eastAsia="zh-CN"/>
        </w:rPr>
        <w:t>（2）配合采购方渗透测试及漏洞扫描等安全工作，并对发现的漏洞进行闭环修复，确保系统上线前无中高风险漏洞。</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color w:val="auto"/>
          <w:sz w:val="24"/>
          <w:szCs w:val="24"/>
          <w:lang w:val="en-US" w:eastAsia="zh-CN"/>
        </w:rPr>
      </w:pPr>
      <w:r>
        <w:rPr>
          <w:rFonts w:ascii="方正仿宋_GBK" w:eastAsia="方正仿宋_GBK" w:cs="方正仿宋_GBK" w:hint="eastAsia"/>
          <w:color w:val="auto"/>
          <w:sz w:val="24"/>
          <w:szCs w:val="24"/>
          <w:lang w:val="en-US" w:eastAsia="zh-CN"/>
        </w:rPr>
        <w:t>（3）在运行使用一个月以内内所暴露的问题已获得采购人确认并已解决。</w:t>
        <w:tab/>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color w:val="auto"/>
          <w:sz w:val="24"/>
          <w:szCs w:val="24"/>
          <w:lang w:val="en-US" w:eastAsia="zh-CN"/>
        </w:rPr>
      </w:pPr>
      <w:r>
        <w:rPr>
          <w:rFonts w:ascii="方正仿宋_GBK" w:eastAsia="方正仿宋_GBK" w:cs="方正仿宋_GBK" w:hint="eastAsia"/>
          <w:color w:val="auto"/>
          <w:sz w:val="24"/>
          <w:szCs w:val="24"/>
          <w:lang w:val="en-US" w:eastAsia="zh-CN"/>
        </w:rPr>
        <w:t>（4）移交一套技术设计文档、测试与运维文档、管理与合规文档。</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color w:val="auto"/>
          <w:sz w:val="24"/>
          <w:szCs w:val="24"/>
          <w:lang w:val="en-US" w:eastAsia="zh-CN"/>
        </w:rPr>
        <w:t>（5）系统上线运行后1个月</w:t>
      </w:r>
      <w:r>
        <w:rPr>
          <w:rFonts w:ascii="方正仿宋_GBK" w:eastAsia="方正仿宋_GBK" w:cs="方正仿宋_GBK" w:hint="eastAsia"/>
          <w:sz w:val="24"/>
          <w:szCs w:val="24"/>
          <w:lang w:val="en-US" w:eastAsia="zh-CN"/>
        </w:rPr>
        <w:t>，无使用异常情况发生。</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sz w:val="24"/>
          <w:szCs w:val="24"/>
          <w:lang w:val="en-US" w:eastAsia="zh-CN"/>
        </w:rPr>
      </w:pPr>
      <w:r>
        <w:rPr>
          <w:rFonts w:ascii="方正仿宋_GBK" w:eastAsia="方正仿宋_GBK" w:cs="方正仿宋_GBK" w:hint="eastAsia"/>
          <w:sz w:val="24"/>
          <w:szCs w:val="24"/>
          <w:lang w:val="en-US" w:eastAsia="zh-CN"/>
        </w:rPr>
        <w:t>（6）各功能验证合格后完成验收，双方签署最终验收文件。</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7.4.2供应商提供的服务未达到比选文件规定要求，且对采购人造成损失的，由供应商承担一切责任，并赔偿所造成的损失。</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7.5服务方式及标准：</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供应商在</w:t>
      </w:r>
      <w:r>
        <w:rPr>
          <w:rFonts w:ascii="方正仿宋_GBK" w:eastAsia="方正仿宋_GBK" w:cs="方正仿宋_GBK" w:hint="eastAsia"/>
          <w:color w:val="auto"/>
          <w:sz w:val="24"/>
          <w:szCs w:val="24"/>
          <w:lang w:val="en-US" w:eastAsia="zh-CN"/>
          <w:highlight w:val="auto"/>
        </w:rPr>
        <w:t>合同服务期</w:t>
      </w:r>
      <w:r>
        <w:rPr>
          <w:rFonts w:ascii="方正仿宋_GBK" w:eastAsia="方正仿宋_GBK" w:cs="方正仿宋_GBK" w:hint="eastAsia"/>
          <w:sz w:val="24"/>
          <w:szCs w:val="24"/>
          <w:lang w:val="en-US" w:eastAsia="zh-CN"/>
        </w:rPr>
        <w:t>内应当为采购方提供以下技术支持服务：</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7.5.1系统日常运维</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（1）远程服务</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运维期内提供7×24小时技术援助电话，在接到采购方的报障电话后，15分钟内解答甲方在使用中遇到的问题，及时为甲方提出解决问题的建议。</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（2）现场服务</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运维期内根据采购方反馈系统问题，需要现场进行服务指导的内容，在接收反馈后4小时内到达采购方指定地点进行服务。</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7.5.2使用培训</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使用系统前至少开展1次使用培训，帮助采购方及操作人员熟悉系统操作和功能。</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7.5.3咨询服务</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提供使用期间系统软件应用和维护技术咨询服务。</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7.5.4系统配套设备管理及系统安全运行管理</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（1）配合网络及硬软件升级、安全漏洞扫描和修复，避免系统免受潜在的安全威胁。</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（2）供应商应提供备品备件，保证用户应急所需，使用的维修零配件必须为原厂配件，未经用户同意不得使用非原厂配件。</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（3）供应商需配合渗透测试及漏洞扫描等安全工作，并对发现的漏洞进行闭环修复，确保系统安全。</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（4）供应商须全周期配合通过国家网络安全等级保护测评及商用密码应用安全性评估，并承担测评所需的配套整改实施工作。</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7.6技术升级</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7.6.1在质保期内，如果成交供应商和制造商的产品技术升级，供应商应及时通知采购人。</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color w:val="auto"/>
          <w:sz w:val="24"/>
          <w:szCs w:val="24"/>
          <w:lang w:val="en-US" w:eastAsia="zh-CN"/>
          <w:highlight w:val="auto"/>
        </w:rPr>
      </w:pPr>
      <w:r>
        <w:rPr>
          <w:rFonts w:ascii="方正仿宋_GBK" w:eastAsia="方正仿宋_GBK" w:cs="方正仿宋_GBK" w:hint="eastAsia"/>
          <w:sz w:val="24"/>
          <w:szCs w:val="24"/>
          <w:lang w:val="en-US" w:eastAsia="zh-CN"/>
        </w:rPr>
        <w:t>7.6.</w:t>
      </w:r>
      <w:r>
        <w:rPr>
          <w:rFonts w:ascii="方正仿宋_GBK" w:eastAsia="方正仿宋_GBK" w:cs="方正仿宋_GBK" w:hint="eastAsia"/>
          <w:color w:val="auto"/>
          <w:sz w:val="24"/>
          <w:szCs w:val="24"/>
          <w:lang w:val="en-US" w:eastAsia="zh-CN"/>
          <w:highlight w:val="auto"/>
        </w:rPr>
        <w:t>2如采购人有相应要求，成交供应商和制造商应对采购人购买的产品进行升级服务。</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7.6.3因国家标准、文件等因素引起的系统改造或升级需求，成交供应商应提供免费服务。</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7.7质保期外服务要求</w:t>
      </w:r>
    </w:p>
    <w:p>
      <w:pPr>
        <w:pageBreakBefore w:val="0"/>
        <w:widowControl w:val="0"/>
        <w:kinsoku/>
        <w:wordWrap/>
        <w:overflowPunct/>
        <w:topLinePunct w:val="0"/>
        <w:autoSpaceDE/>
        <w:autoSpaceDN/>
        <w:bidi w:val="0"/>
        <w:spacing w:line="520" w:lineRule="exact"/>
        <w:textAlignment w:val="auto"/>
        <w:rPr>
          <w:rFonts w:ascii="方正仿宋_GBK" w:eastAsia="方正仿宋_GBK" w:cs="方正仿宋_GBK" w:hint="eastAsia"/>
          <w:sz w:val="24"/>
          <w:szCs w:val="24"/>
          <w:lang w:val="en-US" w:eastAsia="zh-CN"/>
        </w:rPr>
      </w:pPr>
      <w:r>
        <w:rPr>
          <w:rFonts w:ascii="方正仿宋_GBK" w:eastAsia="方正仿宋_GBK" w:cs="方正仿宋_GBK" w:hint="eastAsia"/>
          <w:sz w:val="24"/>
          <w:szCs w:val="24"/>
          <w:lang w:val="en-US" w:eastAsia="zh-CN"/>
        </w:rPr>
        <w:t>7.7.1质量保证期过后，成交供应商应同样提供免费电话咨询服务，并应承诺提供免费上门维护服务。</w:t>
      </w:r>
    </w:p>
    <w:p>
      <w:pPr>
        <w:pageBreakBefore w:val="0"/>
        <w:widowControl w:val="0"/>
        <w:kinsoku/>
        <w:wordWrap/>
        <w:overflowPunct/>
        <w:topLinePunct w:val="0"/>
        <w:autoSpaceDE/>
        <w:autoSpaceDN/>
        <w:spacing w:line="520" w:lineRule="exact"/>
        <w:ind w:left="720" w:hangingChars="300" w:hanging="720"/>
        <w:rPr>
          <w:rFonts w:ascii="方正仿宋_GBK" w:eastAsia="方正仿宋_GBK" w:cs="方正仿宋_GBK" w:hint="eastAsia"/>
          <w:sz w:val="24"/>
        </w:rPr>
      </w:pPr>
      <w:r>
        <w:rPr>
          <w:rFonts w:ascii="方正仿宋_GBK" w:eastAsia="方正仿宋_GBK" w:cs="方正仿宋_GBK" w:hint="eastAsia"/>
          <w:sz w:val="24"/>
          <w:szCs w:val="24"/>
          <w:lang w:val="en-US" w:eastAsia="zh-CN"/>
        </w:rPr>
        <w:t>7.7.2质量保证期过后，采购人需要继续由原成交供应商提供售后服务的，成交供应商应以元/年的价格提供售后服务。</w:t>
      </w:r>
    </w:p>
    <w:p>
      <w:pPr>
        <w:pStyle w:val="1"/>
        <w:tabs>
          <w:tab w:val="left" w:pos="432"/>
        </w:tabs>
        <w:rPr>
          <w:rFonts w:ascii="方正仿宋_GBK" w:eastAsia="方正仿宋_GBK" w:cs="方正仿宋_GBK"/>
          <w:color w:val="000000"/>
          <w:kern w:val="2"/>
          <w:sz w:val="24"/>
          <w:szCs w:val="24"/>
        </w:rPr>
      </w:pPr>
      <w:r>
        <w:rPr>
          <w:rFonts w:ascii="方正仿宋_GBK" w:eastAsia="方正仿宋_GBK" w:cs="方正仿宋_GBK" w:hint="eastAsia"/>
          <w:color w:val="000000"/>
          <w:kern w:val="2"/>
          <w:sz w:val="24"/>
          <w:szCs w:val="24"/>
        </w:rPr>
        <w:t>第八条  软件许可协议</w:t>
      </w:r>
    </w:p>
    <w:p>
      <w:pPr>
        <w:rPr>
          <w:rFonts w:ascii="方正仿宋_GBK" w:eastAsia="方正仿宋_GBK" w:cs="方正仿宋_GBK"/>
          <w:color w:val="000000"/>
          <w:sz w:val="24"/>
        </w:rPr>
      </w:pPr>
      <w:r>
        <w:rPr>
          <w:rFonts w:ascii="方正仿宋_GBK" w:eastAsia="方正仿宋_GBK" w:cs="方正仿宋_GBK" w:hint="eastAsia"/>
          <w:color w:val="000000"/>
          <w:sz w:val="24"/>
        </w:rPr>
        <w:t>8.1  甲方安装了“综合体检管理系统”软件，就自动接受本协议的所有条款，并履行本协议所规定的所有权力和义务。</w:t>
      </w:r>
    </w:p>
    <w:p>
      <w:pPr>
        <w:rPr>
          <w:rFonts w:ascii="方正仿宋_GBK" w:eastAsia="方正仿宋_GBK" w:cs="方正仿宋_GBK"/>
          <w:color w:val="000000"/>
          <w:sz w:val="24"/>
        </w:rPr>
      </w:pPr>
      <w:r>
        <w:rPr>
          <w:rFonts w:ascii="方正仿宋_GBK" w:eastAsia="方正仿宋_GBK" w:cs="方正仿宋_GBK" w:hint="eastAsia"/>
          <w:color w:val="000000"/>
          <w:sz w:val="24"/>
        </w:rPr>
        <w:t>8.2  本软件的知识产权归乙方所有，甲方购买的只是本软件的使用权。</w:t>
      </w:r>
    </w:p>
    <w:p>
      <w:pPr>
        <w:rPr>
          <w:rFonts w:ascii="方正仿宋_GBK" w:eastAsia="方正仿宋_GBK" w:cs="方正仿宋_GBK"/>
          <w:color w:val="000000"/>
          <w:sz w:val="24"/>
        </w:rPr>
      </w:pPr>
      <w:r>
        <w:rPr>
          <w:rFonts w:ascii="方正仿宋_GBK" w:eastAsia="方正仿宋_GBK" w:cs="方正仿宋_GBK" w:hint="eastAsia"/>
          <w:color w:val="000000"/>
          <w:sz w:val="24"/>
        </w:rPr>
        <w:t>8.3  在双方事先约定的时间内，如果甲方没有按期支付本软件的款项，乙方有权使用各种技术和法律手段停止本软件的运行，由此造成的直接和间接损失与乙方无关。</w:t>
      </w:r>
    </w:p>
    <w:p>
      <w:pPr>
        <w:rPr>
          <w:rFonts w:ascii="方正仿宋_GBK" w:eastAsia="方正仿宋_GBK" w:cs="方正仿宋_GBK"/>
          <w:color w:val="000000"/>
          <w:sz w:val="24"/>
        </w:rPr>
      </w:pPr>
      <w:r>
        <w:rPr>
          <w:rFonts w:ascii="方正仿宋_GBK" w:eastAsia="方正仿宋_GBK" w:cs="方正仿宋_GBK" w:hint="eastAsia"/>
          <w:color w:val="000000"/>
          <w:sz w:val="24"/>
        </w:rPr>
        <w:t>8.4  本软件以产品的形式销售，乙方提供的核心服务是免费电话咨询和版本完善及优化，其他各种服务要求需另行协商。</w:t>
      </w:r>
    </w:p>
    <w:p>
      <w:pPr>
        <w:rPr>
          <w:rFonts w:ascii="方正仿宋_GBK" w:eastAsia="方正仿宋_GBK" w:cs="方正仿宋_GBK"/>
          <w:color w:val="000000"/>
          <w:sz w:val="24"/>
        </w:rPr>
      </w:pPr>
      <w:r>
        <w:rPr>
          <w:rFonts w:ascii="方正仿宋_GBK" w:eastAsia="方正仿宋_GBK" w:cs="方正仿宋_GBK" w:hint="eastAsia"/>
          <w:color w:val="000000"/>
          <w:sz w:val="24"/>
        </w:rPr>
        <w:t>8.5  本软件的核心功能提供体检信息管理服务，并非直接的医疗服务。由于使用该软件所造成的直接和间接的医疗责任与乙方无关。</w:t>
      </w:r>
    </w:p>
    <w:p>
      <w:pPr>
        <w:rPr>
          <w:rFonts w:ascii="方正仿宋_GBK" w:eastAsia="方正仿宋_GBK" w:cs="方正仿宋_GBK"/>
          <w:color w:val="000000"/>
          <w:sz w:val="24"/>
        </w:rPr>
      </w:pPr>
      <w:r>
        <w:rPr>
          <w:rFonts w:ascii="方正仿宋_GBK" w:eastAsia="方正仿宋_GBK" w:cs="方正仿宋_GBK" w:hint="eastAsia"/>
          <w:color w:val="000000"/>
          <w:sz w:val="24"/>
        </w:rPr>
        <w:t>第九条 违约责任</w:t>
      </w:r>
    </w:p>
    <w:p>
      <w:pPr>
        <w:rPr>
          <w:rFonts w:ascii="方正仿宋_GBK" w:eastAsia="方正仿宋_GBK" w:cs="方正仿宋_GBK"/>
          <w:color w:val="000000"/>
          <w:sz w:val="24"/>
        </w:rPr>
      </w:pPr>
      <w:r>
        <w:rPr>
          <w:rFonts w:ascii="方正仿宋_GBK" w:eastAsia="方正仿宋_GBK" w:cs="方正仿宋_GBK" w:hint="eastAsia"/>
          <w:color w:val="000000"/>
          <w:sz w:val="24"/>
        </w:rPr>
        <w:t>9.1  若甲方逾期支付预付款的，视为甲方违约，则甲方需以欠付金额为基数，按每天千分之一的标准向乙方支付违约金直至甲方付清全部款项时止；若甲方逾期支付预付款超过两个月的，视为甲方根本违约，则乙方有权单方面解除本合同，且甲方需按本合同总金额30％的标准向乙方支付违约金。</w:t>
      </w:r>
    </w:p>
    <w:p>
      <w:pPr>
        <w:rPr>
          <w:rFonts w:ascii="方正仿宋_GBK" w:eastAsia="方正仿宋_GBK" w:cs="方正仿宋_GBK"/>
          <w:color w:val="000000"/>
          <w:sz w:val="24"/>
        </w:rPr>
      </w:pPr>
      <w:r>
        <w:rPr>
          <w:rFonts w:ascii="方正仿宋_GBK" w:eastAsia="方正仿宋_GBK" w:cs="方正仿宋_GBK" w:hint="eastAsia"/>
          <w:color w:val="000000"/>
          <w:sz w:val="24"/>
        </w:rPr>
        <w:t>9.2  若甲方逾期支付尾款的，视为甲方违约，则甲方需以欠付金额为基数，按每天千分之一标准向乙方支付违约金直至甲方付清全部款项时止。</w:t>
      </w:r>
    </w:p>
    <w:p>
      <w:pPr>
        <w:rPr>
          <w:rFonts w:ascii="方正仿宋_GBK" w:eastAsia="方正仿宋_GBK" w:cs="方正仿宋_GBK"/>
          <w:color w:val="000000"/>
          <w:sz w:val="24"/>
        </w:rPr>
      </w:pPr>
      <w:r>
        <w:rPr>
          <w:rFonts w:ascii="方正仿宋_GBK" w:eastAsia="方正仿宋_GBK" w:cs="方正仿宋_GBK" w:hint="eastAsia"/>
          <w:color w:val="000000"/>
          <w:sz w:val="24"/>
        </w:rPr>
        <w:t>9.3  乙方保证所开发和提供的软件符合国家职业健康体检卫生标准（GBZ188-2025），否则按违约处理，乙方违约的按照本合同总金额30％的标准向甲方支付违约金。</w:t>
      </w:r>
    </w:p>
    <w:p>
      <w:pPr>
        <w:rPr>
          <w:rFonts w:ascii="方正仿宋_GBK" w:eastAsia="方正仿宋_GBK" w:cs="方正仿宋_GBK"/>
          <w:color w:val="000000"/>
          <w:sz w:val="24"/>
        </w:rPr>
      </w:pPr>
      <w:r>
        <w:rPr>
          <w:rFonts w:ascii="方正仿宋_GBK" w:eastAsia="方正仿宋_GBK" w:cs="方正仿宋_GBK" w:hint="eastAsia"/>
          <w:color w:val="000000"/>
          <w:sz w:val="24"/>
        </w:rPr>
        <w:t>9.4  乙方保证甲方和重庆市网报平台对接，实现数据上报，否则按违约处理，乙方违约的按照本合同总金额30％的标准向甲方支付违约金。</w:t>
      </w:r>
    </w:p>
    <w:p>
      <w:pPr>
        <w:rPr>
          <w:rFonts w:ascii="方正仿宋_GBK" w:eastAsia="方正仿宋_GBK" w:cs="方正仿宋_GBK"/>
          <w:color w:val="000000"/>
          <w:sz w:val="24"/>
        </w:rPr>
      </w:pPr>
      <w:r>
        <w:rPr>
          <w:rFonts w:ascii="方正仿宋_GBK" w:eastAsia="方正仿宋_GBK" w:cs="方正仿宋_GBK" w:hint="eastAsia"/>
          <w:color w:val="000000"/>
          <w:sz w:val="24"/>
        </w:rPr>
        <w:t>9.5 乙方远程操控、关停或者不予更新软件系统视为根本违约，乙方应退还甲方已支付的合同总金额。</w:t>
      </w:r>
    </w:p>
    <w:p>
      <w:pPr>
        <w:rPr>
          <w:rFonts w:ascii="方正仿宋_GBK" w:eastAsia="方正仿宋_GBK" w:cs="方正仿宋_GBK"/>
          <w:color w:val="000000"/>
          <w:sz w:val="24"/>
        </w:rPr>
      </w:pPr>
      <w:r>
        <w:rPr>
          <w:rFonts w:ascii="方正仿宋_GBK" w:eastAsia="方正仿宋_GBK" w:cs="方正仿宋_GBK" w:hint="eastAsia"/>
          <w:color w:val="000000"/>
          <w:sz w:val="24"/>
        </w:rPr>
        <w:t xml:space="preserve">第十条  其他 </w:t>
      </w:r>
    </w:p>
    <w:p>
      <w:pPr>
        <w:rPr>
          <w:rFonts w:ascii="方正仿宋_GBK" w:eastAsia="方正仿宋_GBK" w:cs="方正仿宋_GBK"/>
          <w:color w:val="000000"/>
          <w:sz w:val="24"/>
        </w:rPr>
      </w:pPr>
      <w:r>
        <w:rPr>
          <w:rFonts w:ascii="方正仿宋_GBK" w:eastAsia="方正仿宋_GBK" w:cs="方正仿宋_GBK" w:hint="eastAsia"/>
          <w:color w:val="000000"/>
          <w:sz w:val="24"/>
        </w:rPr>
        <w:t>10.1  未尽事宜，双方协商解决。协商不成，由甲方所在地法院管辖。</w:t>
      </w:r>
    </w:p>
    <w:p>
      <w:pPr>
        <w:rPr>
          <w:rFonts w:ascii="方正仿宋_GBK" w:eastAsia="方正仿宋_GBK" w:cs="方正仿宋_GBK"/>
          <w:color w:val="000000"/>
          <w:sz w:val="24"/>
        </w:rPr>
      </w:pPr>
      <w:r>
        <w:rPr>
          <w:rFonts w:ascii="方正仿宋_GBK" w:eastAsia="方正仿宋_GBK" w:cs="方正仿宋_GBK" w:hint="eastAsia"/>
          <w:color w:val="000000"/>
          <w:sz w:val="24"/>
        </w:rPr>
        <w:t>10.2  若甲方按本合同向乙方主张权益所产生的一切费用（包括但不限于：诉讼费、保全费、交通费、律师费等），均由乙方负责承担。</w:t>
      </w:r>
    </w:p>
    <w:p>
      <w:pPr>
        <w:rPr>
          <w:rFonts w:ascii="方正仿宋_GBK" w:eastAsia="方正仿宋_GBK" w:cs="方正仿宋_GBK"/>
          <w:color w:val="000000"/>
          <w:sz w:val="24"/>
        </w:rPr>
      </w:pPr>
      <w:r>
        <w:rPr>
          <w:rFonts w:ascii="方正仿宋_GBK" w:eastAsia="方正仿宋_GBK" w:cs="方正仿宋_GBK" w:hint="eastAsia"/>
          <w:color w:val="000000"/>
          <w:sz w:val="24"/>
        </w:rPr>
        <w:t>10.3  甲、乙双方可以选择电子邮箱或通讯地址进行传送通知、函件等材料，且任一方式均视为有效送达。本合同载明的电子邮箱和通讯地址为双方有效送达邮箱和送达地址。若一方变更电子邮箱或通讯地址的应立即以书面形式通知另一方，否则仍以本合同载明送达信息为准，且由此产生的法律责任自行承担。</w:t>
      </w:r>
    </w:p>
    <w:p>
      <w:pPr>
        <w:rPr>
          <w:rFonts w:ascii="方正仿宋_GBK" w:eastAsia="方正仿宋_GBK" w:cs="方正仿宋_GBK"/>
          <w:color w:val="000000"/>
          <w:sz w:val="24"/>
        </w:rPr>
      </w:pPr>
      <w:r>
        <w:rPr>
          <w:rFonts w:ascii="方正仿宋_GBK" w:eastAsia="方正仿宋_GBK" w:cs="方正仿宋_GBK" w:hint="eastAsia"/>
          <w:color w:val="000000"/>
          <w:sz w:val="24"/>
        </w:rPr>
        <w:t>10.4  本合同若发生争议，甲乙双方均同意按本合同载明通讯地址作为法院和仲裁机构的诉讼、仲裁文书等有效送达地址，若法院和仲裁机构诉讼、仲裁文书送达不能的，其法律后果自行承担。</w:t>
      </w:r>
    </w:p>
    <w:p>
      <w:pPr>
        <w:rPr>
          <w:rFonts w:ascii="方正仿宋_GBK" w:eastAsia="方正仿宋_GBK" w:cs="方正仿宋_GBK"/>
          <w:color w:val="000000"/>
          <w:sz w:val="24"/>
        </w:rPr>
      </w:pPr>
      <w:r>
        <w:rPr>
          <w:rFonts w:ascii="方正仿宋_GBK" w:eastAsia="方正仿宋_GBK" w:cs="方正仿宋_GBK" w:hint="eastAsia"/>
          <w:color w:val="000000"/>
          <w:sz w:val="24"/>
        </w:rPr>
        <w:t>10.5  本协议如与国家相关法律、法规相冲突，以国家法律、法规为准。</w:t>
      </w:r>
    </w:p>
    <w:p>
      <w:pPr>
        <w:rPr>
          <w:rFonts w:ascii="方正仿宋_GBK" w:eastAsia="方正仿宋_GBK" w:cs="方正仿宋_GBK"/>
          <w:color w:val="000000"/>
          <w:sz w:val="24"/>
          <w:szCs w:val="24"/>
        </w:rPr>
      </w:pPr>
      <w:r>
        <w:rPr>
          <w:rFonts w:ascii="方正仿宋_GBK" w:eastAsia="方正仿宋_GBK" w:cs="方正仿宋_GBK" w:hint="eastAsia"/>
          <w:color w:val="000000"/>
          <w:sz w:val="24"/>
        </w:rPr>
        <w:t>10.6  本协议双方签字盖章之日起生效。本合同及附件壹式肆份，双方各持贰份，具有同等法律效力。</w:t>
      </w:r>
    </w:p>
    <w:tbl>
      <w:tblPr>
        <w:tblpPr w:leftFromText="180" w:rightFromText="180" w:vertAnchor="text" w:horzAnchor="page" w:tblpX="1711" w:tblpY="56"/>
        <w:tblOverlap w:val="never"/>
        <w:tblW w:w="932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709"/>
        <w:gridCol w:w="4611"/>
      </w:tblGrid>
      <w:tr>
        <w:trPr>
          <w:trHeight w:val="407"/>
        </w:trPr>
        <w:tc>
          <w:tcPr>
            <w:tcW w:w="4709"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甲方（盖章）：</w:t>
            </w:r>
          </w:p>
        </w:tc>
        <w:tc>
          <w:tcPr>
            <w:tcW w:w="4611"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乙方（盖章）：</w:t>
            </w:r>
          </w:p>
        </w:tc>
      </w:tr>
      <w:tr>
        <w:trPr>
          <w:trHeight w:val="769"/>
        </w:trPr>
        <w:tc>
          <w:tcPr>
            <w:tcW w:w="4709"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通讯地址：</w:t>
            </w:r>
          </w:p>
        </w:tc>
        <w:tc>
          <w:tcPr>
            <w:tcW w:w="4611" w:type="dxa"/>
          </w:tcPr>
          <w:p>
            <w:pPr>
              <w:adjustRightInd w:val="0"/>
              <w:snapToGrid w:val="0"/>
              <w:rPr>
                <w:rFonts w:ascii="方正仿宋_GBK" w:eastAsia="方正仿宋_GBK" w:cs="方正仿宋_GBK"/>
                <w:color w:val="000000"/>
                <w:sz w:val="24"/>
              </w:rPr>
            </w:pPr>
            <w:r>
              <w:rPr>
                <w:rFonts w:ascii="方正仿宋_GBK" w:eastAsia="方正仿宋_GBK" w:cs="方正仿宋_GBK" w:hint="eastAsia"/>
                <w:color w:val="000000"/>
                <w:sz w:val="24"/>
              </w:rPr>
              <w:t>通讯地址：</w:t>
            </w:r>
          </w:p>
        </w:tc>
      </w:tr>
      <w:tr>
        <w:trPr>
          <w:trHeight w:val="407"/>
        </w:trPr>
        <w:tc>
          <w:tcPr>
            <w:tcW w:w="4709"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电子邮箱：</w:t>
            </w:r>
          </w:p>
        </w:tc>
        <w:tc>
          <w:tcPr>
            <w:tcW w:w="4611"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电子邮箱：</w:t>
            </w:r>
          </w:p>
        </w:tc>
      </w:tr>
      <w:tr>
        <w:trPr>
          <w:trHeight w:val="407"/>
        </w:trPr>
        <w:tc>
          <w:tcPr>
            <w:tcW w:w="4709"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指定委托代理人：</w:t>
            </w:r>
          </w:p>
        </w:tc>
        <w:tc>
          <w:tcPr>
            <w:tcW w:w="4611"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指定委托代理人：</w:t>
            </w:r>
          </w:p>
        </w:tc>
      </w:tr>
      <w:tr>
        <w:trPr>
          <w:trHeight w:val="407"/>
        </w:trPr>
        <w:tc>
          <w:tcPr>
            <w:tcW w:w="4709"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联系电话：</w:t>
            </w:r>
          </w:p>
        </w:tc>
        <w:tc>
          <w:tcPr>
            <w:tcW w:w="4611"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联系电话：</w:t>
            </w:r>
          </w:p>
        </w:tc>
      </w:tr>
      <w:tr>
        <w:trPr>
          <w:trHeight w:val="407"/>
        </w:trPr>
        <w:tc>
          <w:tcPr>
            <w:tcW w:w="4709"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日期：     年    月   日</w:t>
            </w:r>
          </w:p>
        </w:tc>
        <w:tc>
          <w:tcPr>
            <w:tcW w:w="4611" w:type="dxa"/>
          </w:tcPr>
          <w:p>
            <w:pPr>
              <w:ind w:right="180"/>
              <w:rPr>
                <w:rFonts w:ascii="方正仿宋_GBK" w:eastAsia="方正仿宋_GBK" w:cs="方正仿宋_GBK"/>
                <w:color w:val="000000"/>
                <w:sz w:val="24"/>
              </w:rPr>
            </w:pPr>
            <w:r>
              <w:rPr>
                <w:rFonts w:ascii="方正仿宋_GBK" w:eastAsia="方正仿宋_GBK" w:cs="方正仿宋_GBK" w:hint="eastAsia"/>
                <w:color w:val="000000"/>
                <w:sz w:val="24"/>
              </w:rPr>
              <w:t>日期：     年   月   日</w:t>
            </w:r>
          </w:p>
        </w:tc>
      </w:tr>
    </w:tbl>
    <w:p>
      <w:pPr>
        <w:pStyle w:val="81"/>
        <w:rPr>
          <w:rFonts w:ascii="宋体" w:cs="宋体"/>
        </w:rPr>
      </w:pPr>
      <w:r>
        <w:rPr>
          <w:rFonts w:ascii="宋体" w:cs="宋体" w:hint="eastAsia"/>
          <w:sz w:val="28"/>
        </w:rPr>
        <w:br w:type="page"/>
      </w:r>
    </w:p>
    <w:p>
      <w:pPr>
        <w:rPr>
          <w:rFonts w:ascii="宋体" w:cs="宋体"/>
          <w:sz w:val="24"/>
        </w:rPr>
      </w:pPr>
    </w:p>
    <w:p>
      <w:pPr>
        <w:rPr>
          <w:rFonts w:ascii="宋体" w:cs="宋体"/>
          <w:sz w:val="24"/>
        </w:rPr>
      </w:pPr>
    </w:p>
    <w:p>
      <w:pPr>
        <w:pStyle w:val="34"/>
        <w:numPr>
          <w:ilvl w:val="0"/>
          <w:numId w:val="7"/>
        </w:numPr>
        <w:spacing w:line="560" w:lineRule="exact"/>
        <w:ind w:left="-140" w:firstLine="3080"/>
        <w:rPr>
          <w:rFonts w:ascii="方正小标宋_GBK" w:eastAsia="方正小标宋_GBK" w:cs="方正小标宋_GBK"/>
          <w:bCs/>
          <w:kern w:val="0"/>
          <w:sz w:val="44"/>
          <w:szCs w:val="44"/>
        </w:rPr>
      </w:pPr>
      <w:bookmarkEnd w:id="53"/>
      <w:r>
        <w:rPr>
          <w:rFonts w:ascii="方正小标宋_GBK" w:eastAsia="方正小标宋_GBK" w:cs="方正小标宋_GBK" w:hint="eastAsia"/>
          <w:bCs/>
          <w:kern w:val="0"/>
          <w:sz w:val="44"/>
          <w:szCs w:val="44"/>
        </w:rPr>
        <w:t xml:space="preserve"> 项目需求书</w:t>
      </w:r>
      <w:bookmarkStart w:id="54" w:name="_Toc8723"/>
    </w:p>
    <w:p>
      <w:pPr>
        <w:pStyle w:val="34"/>
        <w:spacing w:line="560" w:lineRule="exact"/>
        <w:rPr>
          <w:rFonts w:ascii="方正仿宋_GBK" w:eastAsia="方正仿宋_GBK" w:cs="方正仿宋_GBK"/>
          <w:sz w:val="24"/>
        </w:rPr>
      </w:pPr>
      <w:r>
        <w:rPr>
          <w:rFonts w:ascii="方正仿宋_GBK" w:eastAsia="方正仿宋_GBK" w:cs="方正仿宋_GBK" w:hint="eastAsia"/>
          <w:sz w:val="24"/>
        </w:rPr>
        <w:t>★</w:t>
      </w:r>
      <w:r>
        <w:rPr>
          <w:rFonts w:ascii="方正仿宋_GBK" w:eastAsia="方正仿宋_GBK" w:cs="方正仿宋_GBK" w:hint="eastAsia"/>
          <w:bCs/>
          <w:sz w:val="24"/>
          <w:szCs w:val="28"/>
        </w:rPr>
        <w:t>标注的服务需求为符合性审查中的实质性要求，投标文件若不满足按无效投标处理。</w:t>
      </w:r>
    </w:p>
    <w:p>
      <w:pPr>
        <w:pStyle w:val="2"/>
        <w:spacing w:line="560" w:lineRule="exact"/>
        <w:ind w:firstLineChars="200" w:firstLine="560"/>
        <w:jc w:val="both"/>
        <w:rPr>
          <w:rFonts w:ascii="方正小标宋_GBK" w:eastAsia="方正小标宋_GBK" w:cs="方正小标宋_GBK"/>
          <w:b w:val="0"/>
          <w:bCs/>
          <w:sz w:val="28"/>
          <w:szCs w:val="28"/>
        </w:rPr>
      </w:pPr>
      <w:r>
        <w:rPr>
          <w:rFonts w:ascii="方正小标宋_GBK" w:eastAsia="方正小标宋_GBK" w:cs="方正小标宋_GBK" w:hint="eastAsia"/>
          <w:b w:val="0"/>
          <w:bCs/>
          <w:sz w:val="28"/>
          <w:szCs w:val="28"/>
        </w:rPr>
        <w:t>一、招标项目</w:t>
      </w:r>
      <w:bookmarkEnd w:id="54"/>
    </w:p>
    <w:tbl>
      <w:tblPr>
        <w:jc w:val="left"/>
        <w:tblInd w:w="283" w:type="dxa"/>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25"/>
        <w:gridCol w:w="5569"/>
      </w:tblGrid>
      <w:tr>
        <w:tc>
          <w:tcPr>
            <w:tcW w:w="3525" w:type="dxa"/>
            <w:noWrap/>
            <w:vAlign w:val="center"/>
          </w:tcPr>
          <w:p>
            <w:pPr>
              <w:tabs>
                <w:tab w:val="left" w:pos="180"/>
              </w:tabs>
              <w:spacing w:line="560" w:lineRule="exact"/>
              <w:jc w:val="center"/>
              <w:rPr>
                <w:rFonts w:ascii="方正仿宋_GBK" w:eastAsia="方正仿宋_GBK" w:cs="方正仿宋_GBK"/>
                <w:sz w:val="24"/>
              </w:rPr>
            </w:pPr>
            <w:r>
              <w:rPr>
                <w:rFonts w:ascii="方正仿宋_GBK" w:eastAsia="方正仿宋_GBK" w:cs="方正仿宋_GBK" w:hint="eastAsia"/>
                <w:sz w:val="24"/>
              </w:rPr>
              <w:t>项目名称</w:t>
            </w:r>
          </w:p>
        </w:tc>
        <w:tc>
          <w:tcPr>
            <w:tcW w:w="5569" w:type="dxa"/>
            <w:noWrap/>
            <w:vAlign w:val="center"/>
          </w:tcPr>
          <w:p>
            <w:pPr>
              <w:tabs>
                <w:tab w:val="left" w:pos="180"/>
              </w:tabs>
              <w:spacing w:line="560" w:lineRule="exact"/>
              <w:jc w:val="center"/>
              <w:rPr>
                <w:rFonts w:ascii="方正仿宋_GBK" w:eastAsia="方正仿宋_GBK" w:cs="方正仿宋_GBK"/>
                <w:sz w:val="24"/>
              </w:rPr>
            </w:pPr>
            <w:r>
              <w:rPr>
                <w:rFonts w:ascii="方正仿宋_GBK" w:eastAsia="方正仿宋_GBK" w:cs="方正仿宋_GBK" w:hint="eastAsia"/>
                <w:sz w:val="24"/>
              </w:rPr>
              <w:t>采购内容</w:t>
            </w:r>
          </w:p>
        </w:tc>
      </w:tr>
      <w:tr>
        <w:tc>
          <w:tcPr>
            <w:tcW w:w="3525" w:type="dxa"/>
            <w:noWrap/>
            <w:vAlign w:val="center"/>
          </w:tcPr>
          <w:p>
            <w:pPr>
              <w:tabs>
                <w:tab w:val="left" w:pos="180"/>
              </w:tabs>
              <w:spacing w:line="560" w:lineRule="exact"/>
              <w:jc w:val="center"/>
              <w:rPr>
                <w:rFonts w:ascii="方正仿宋_GBK" w:eastAsia="方正仿宋_GBK" w:cs="方正仿宋_GBK"/>
                <w:sz w:val="24"/>
              </w:rPr>
            </w:pPr>
            <w:r>
              <w:rPr>
                <w:rFonts w:ascii="方正仿宋_GBK" w:eastAsia="方正仿宋_GBK" w:cs="方正仿宋_GBK" w:hint="eastAsia"/>
                <w:color w:val="000000"/>
                <w:sz w:val="24"/>
              </w:rPr>
              <w:t>重庆国际旅行卫生保健中心2026年职业病体检信息管理系统采购项目</w:t>
            </w:r>
          </w:p>
        </w:tc>
        <w:tc>
          <w:tcPr>
            <w:tcW w:w="5569" w:type="dxa"/>
            <w:noWrap/>
            <w:vAlign w:val="center"/>
          </w:tcPr>
          <w:p>
            <w:pPr>
              <w:spacing w:line="560" w:lineRule="exact"/>
              <w:jc w:val="left"/>
              <w:rPr>
                <w:rFonts w:ascii="方正仿宋_GBK" w:eastAsia="方正仿宋_GBK" w:cs="方正仿宋_GBK"/>
                <w:sz w:val="24"/>
              </w:rPr>
            </w:pPr>
            <w:r>
              <w:rPr>
                <w:rFonts w:ascii="方正仿宋_GBK" w:eastAsia="方正仿宋_GBK" w:cs="方正仿宋_GBK" w:hint="eastAsia"/>
                <w:sz w:val="24"/>
              </w:rPr>
              <w:t>实现职业病体检全流程管理，满足GBZ188-2025要求；对接重庆市职业病防治综合管理信息系统，实现数据智能上报；实现通过微信公众号查看并下载体检报告；实验室设备、检查设备能与系统进行数据对接。</w:t>
            </w:r>
          </w:p>
        </w:tc>
      </w:tr>
    </w:tbl>
    <w:p>
      <w:pPr>
        <w:pStyle w:val="2"/>
        <w:spacing w:line="560" w:lineRule="exact"/>
        <w:ind w:firstLineChars="200" w:firstLine="560"/>
        <w:jc w:val="both"/>
        <w:rPr>
          <w:rFonts w:ascii="方正小标宋_GBK" w:eastAsia="方正小标宋_GBK" w:cs="方正小标宋_GBK"/>
          <w:b w:val="0"/>
          <w:bCs/>
          <w:sz w:val="28"/>
          <w:szCs w:val="28"/>
        </w:rPr>
      </w:pPr>
      <w:r>
        <w:rPr>
          <w:rFonts w:ascii="方正小标宋_GBK" w:eastAsia="方正小标宋_GBK" w:cs="方正小标宋_GBK" w:hint="eastAsia"/>
          <w:b w:val="0"/>
          <w:bCs/>
          <w:sz w:val="28"/>
          <w:szCs w:val="28"/>
        </w:rPr>
        <w:t>二、项目技术规格及参数要求</w:t>
      </w:r>
    </w:p>
    <w:tbl>
      <w:tblPr>
        <w:jc w:val="left"/>
        <w:tblInd w:w="-10" w:type="dxa"/>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31"/>
        <w:gridCol w:w="1540"/>
        <w:gridCol w:w="6715"/>
      </w:tblGrid>
      <w:tr>
        <w:trPr>
          <w:trHeight w:val="510"/>
        </w:trPr>
        <w:tc>
          <w:tcPr>
            <w:tcW w:w="694" w:type="pct"/>
            <w:noWrap/>
            <w:vAlign w:val="center"/>
          </w:tcPr>
          <w:p>
            <w:pPr>
              <w:widowControl/>
              <w:spacing w:line="520" w:lineRule="exact"/>
              <w:rPr>
                <w:rFonts w:ascii="方正仿宋_GBK" w:eastAsia="方正仿宋_GBK" w:cs="方正仿宋_GBK"/>
                <w:b/>
                <w:bCs/>
                <w:kern w:val="0"/>
                <w:sz w:val="24"/>
              </w:rPr>
            </w:pPr>
            <w:r>
              <w:rPr>
                <w:rFonts w:ascii="方正仿宋_GBK" w:eastAsia="方正仿宋_GBK" w:cs="方正仿宋_GBK" w:hint="eastAsia"/>
                <w:b/>
                <w:sz w:val="24"/>
              </w:rPr>
              <w:t>▲</w:t>
            </w:r>
            <w:r>
              <w:rPr>
                <w:rFonts w:ascii="方正仿宋_GBK" w:eastAsia="方正仿宋_GBK" w:cs="方正仿宋_GBK" w:hint="eastAsia"/>
                <w:kern w:val="0"/>
                <w:sz w:val="24"/>
              </w:rPr>
              <w:t>架构</w:t>
            </w:r>
          </w:p>
        </w:tc>
        <w:tc>
          <w:tcPr>
            <w:tcW w:w="803" w:type="pct"/>
            <w:noWrap/>
            <w:vAlign w:val="center"/>
          </w:tcPr>
          <w:p>
            <w:pPr>
              <w:widowControl/>
              <w:spacing w:line="520" w:lineRule="exact"/>
              <w:ind w:firstLineChars="200" w:firstLine="480"/>
              <w:rPr>
                <w:rFonts w:ascii="方正仿宋_GBK" w:eastAsia="方正仿宋_GBK" w:cs="方正仿宋_GBK"/>
                <w:b/>
                <w:bCs/>
                <w:kern w:val="0"/>
                <w:sz w:val="24"/>
              </w:rPr>
            </w:pPr>
            <w:r>
              <w:rPr>
                <w:rFonts w:ascii="方正仿宋_GBK" w:eastAsia="方正仿宋_GBK" w:cs="方正仿宋_GBK" w:hint="eastAsia"/>
                <w:snapToGrid w:val="0"/>
                <w:kern w:val="0"/>
                <w:sz w:val="24"/>
              </w:rPr>
              <w:t>B/S</w:t>
            </w:r>
          </w:p>
        </w:tc>
        <w:tc>
          <w:tcPr>
            <w:tcW w:w="3502" w:type="pct"/>
            <w:noWrap/>
            <w:vAlign w:val="center"/>
          </w:tcPr>
          <w:p>
            <w:pPr>
              <w:widowControl/>
              <w:spacing w:line="520" w:lineRule="exact"/>
              <w:rPr>
                <w:rFonts w:ascii="方正仿宋_GBK" w:eastAsia="方正仿宋_GBK" w:cs="方正仿宋_GBK"/>
                <w:b/>
                <w:bCs/>
                <w:kern w:val="0"/>
                <w:sz w:val="24"/>
              </w:rPr>
            </w:pPr>
            <w:r>
              <w:rPr>
                <w:rFonts w:ascii="方正仿宋_GBK" w:eastAsia="方正仿宋_GBK" w:cs="方正仿宋_GBK" w:hint="eastAsia"/>
                <w:kern w:val="0"/>
                <w:sz w:val="24"/>
              </w:rPr>
              <w:t>系统采用B/S架构设计，支持通过Google、Chrome、360安全浏览器、Mozilla Firefox等主流浏览器直接访问。</w:t>
            </w:r>
          </w:p>
        </w:tc>
      </w:tr>
      <w:tr>
        <w:trPr>
          <w:trHeight w:val="510"/>
        </w:trPr>
        <w:tc>
          <w:tcPr>
            <w:tcW w:w="694" w:type="pct"/>
            <w:vMerge w:val="restar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b/>
                <w:sz w:val="24"/>
              </w:rPr>
              <w:t>▲</w:t>
            </w:r>
            <w:r>
              <w:rPr>
                <w:rFonts w:ascii="方正仿宋_GBK" w:eastAsia="方正仿宋_GBK" w:cs="方正仿宋_GBK" w:hint="eastAsia"/>
                <w:kern w:val="0"/>
                <w:sz w:val="24"/>
              </w:rPr>
              <w:t>移动端</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电子体检报告</w:t>
            </w:r>
          </w:p>
        </w:tc>
        <w:tc>
          <w:tcPr>
            <w:tcW w:w="3502" w:type="pct"/>
            <w:shd w:val="clear" w:color="FFFFFF" w:fill="auto"/>
            <w:noWrap/>
            <w:vAlign w:val="center"/>
          </w:tcPr>
          <w:p>
            <w:pPr>
              <w:pStyle w:val="81"/>
              <w:spacing w:line="520" w:lineRule="exact"/>
              <w:ind w:firstLineChars="0" w:firstLine="0"/>
              <w:rPr>
                <w:rFonts w:ascii="方正仿宋_GBK" w:eastAsia="方正仿宋_GBK" w:cs="方正仿宋_GBK"/>
                <w:bCs w:val="0"/>
                <w:color w:val="auto"/>
                <w:kern w:val="0"/>
                <w:szCs w:val="24"/>
              </w:rPr>
            </w:pPr>
            <w:r>
              <w:rPr>
                <w:rFonts w:ascii="方正仿宋_GBK" w:eastAsia="方正仿宋_GBK" w:cs="方正仿宋_GBK" w:hint="eastAsia"/>
                <w:bCs w:val="0"/>
                <w:color w:val="auto"/>
                <w:kern w:val="0"/>
                <w:szCs w:val="24"/>
              </w:rPr>
              <w:t>体检者可在微信端查看个人体检结果、医生指导建议。体检历史数据可根据体检系统的权限控制查询。</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单位报告</w:t>
            </w:r>
          </w:p>
        </w:tc>
        <w:tc>
          <w:tcPr>
            <w:tcW w:w="3502" w:type="pct"/>
            <w:shd w:val="clear" w:color="FFFFFF" w:fill="auto"/>
            <w:noWrap/>
            <w:vAlign w:val="center"/>
          </w:tcPr>
          <w:p>
            <w:pPr>
              <w:pStyle w:val="81"/>
              <w:spacing w:line="520" w:lineRule="exact"/>
              <w:ind w:firstLineChars="0" w:firstLine="0"/>
              <w:rPr>
                <w:rFonts w:ascii="方正仿宋_GBK" w:eastAsia="方正仿宋_GBK" w:cs="方正仿宋_GBK"/>
                <w:bCs w:val="0"/>
                <w:color w:val="auto"/>
                <w:kern w:val="0"/>
                <w:szCs w:val="24"/>
              </w:rPr>
            </w:pPr>
            <w:r>
              <w:rPr>
                <w:rFonts w:ascii="方正仿宋_GBK" w:eastAsia="方正仿宋_GBK" w:cs="方正仿宋_GBK" w:hint="eastAsia"/>
                <w:bCs w:val="0"/>
                <w:color w:val="auto"/>
                <w:kern w:val="0"/>
                <w:szCs w:val="24"/>
              </w:rPr>
              <w:t>可在移动端查看本单位的体检情况，如预约人数、体检人数、人员检查结果、个人体检报告、健康状况统计等。</w:t>
            </w:r>
          </w:p>
        </w:tc>
      </w:tr>
      <w:tr>
        <w:trPr>
          <w:trHeight w:val="510"/>
        </w:trPr>
        <w:tc>
          <w:tcPr>
            <w:tcW w:w="694" w:type="pct"/>
            <w:vMerge w:val="restar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b/>
                <w:sz w:val="24"/>
              </w:rPr>
              <w:t>▲</w:t>
            </w:r>
            <w:r>
              <w:rPr>
                <w:rFonts w:ascii="方正仿宋_GBK" w:eastAsia="方正仿宋_GBK" w:cs="方正仿宋_GBK" w:hint="eastAsia"/>
                <w:sz w:val="24"/>
              </w:rPr>
              <w:t>智能提示</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z w:val="24"/>
              </w:rPr>
              <w:t>智能预警</w:t>
            </w:r>
          </w:p>
        </w:tc>
        <w:tc>
          <w:tcPr>
            <w:tcW w:w="3502" w:type="pct"/>
            <w:shd w:val="clear" w:color="FFFFFF" w:fill="auto"/>
            <w:noWrap/>
            <w:vAlign w:val="center"/>
          </w:tcPr>
          <w:p>
            <w:pPr>
              <w:spacing w:line="520" w:lineRule="exact"/>
              <w:rPr>
                <w:rFonts w:ascii="方正仿宋_GBK" w:eastAsia="方正仿宋_GBK" w:cs="方正仿宋_GBK"/>
                <w:kern w:val="0"/>
                <w:sz w:val="24"/>
              </w:rPr>
            </w:pPr>
            <w:r>
              <w:rPr>
                <w:rFonts w:ascii="方正仿宋_GBK" w:eastAsia="方正仿宋_GBK" w:cs="方正仿宋_GBK" w:hint="eastAsia"/>
                <w:sz w:val="24"/>
              </w:rPr>
              <w:t>可通过采购方微信公众号消息推送、短信提醒等方式，向体检者发送预约成功、取消、检前通知和体检报告提醒；向采购方发送报告及检查结果等超期未完成工作预警信息。</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z w:val="24"/>
              </w:rPr>
            </w:pPr>
            <w:r>
              <w:rPr>
                <w:rFonts w:ascii="方正仿宋_GBK" w:eastAsia="方正仿宋_GBK" w:cs="方正仿宋_GBK" w:hint="eastAsia"/>
                <w:sz w:val="24"/>
              </w:rPr>
              <w:t>智能提示</w:t>
            </w:r>
          </w:p>
        </w:tc>
        <w:tc>
          <w:tcPr>
            <w:tcW w:w="3502" w:type="pct"/>
            <w:shd w:val="clear" w:color="FFFFFF" w:fill="auto"/>
            <w:noWrap/>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系统输入体检者信息后，可提示该体检者上一次体检信息，重点显示异常情况。</w:t>
            </w:r>
          </w:p>
        </w:tc>
      </w:tr>
      <w:tr>
        <w:trPr>
          <w:trHeight w:val="510"/>
        </w:trPr>
        <w:tc>
          <w:tcPr>
            <w:tcW w:w="694" w:type="pc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b/>
                <w:sz w:val="24"/>
              </w:rPr>
              <w:t>▲</w:t>
            </w:r>
            <w:r>
              <w:rPr>
                <w:rFonts w:ascii="方正仿宋_GBK" w:eastAsia="方正仿宋_GBK" w:cs="方正仿宋_GBK" w:hint="eastAsia"/>
                <w:snapToGrid w:val="0"/>
                <w:kern w:val="0"/>
                <w:sz w:val="24"/>
              </w:rPr>
              <w:t>职业健康体检</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职业健康体检</w:t>
            </w:r>
          </w:p>
        </w:tc>
        <w:tc>
          <w:tcPr>
            <w:tcW w:w="3502" w:type="pct"/>
            <w:shd w:val="clear" w:color="FFFFFF" w:fill="auto"/>
            <w:noWrap/>
            <w:vAlign w:val="center"/>
          </w:tcPr>
          <w:p>
            <w:pPr>
              <w:widowControl/>
              <w:spacing w:line="520" w:lineRule="exact"/>
              <w:rPr>
                <w:rFonts w:ascii="方正仿宋_GBK" w:eastAsia="方正仿宋_GBK" w:cs="方正仿宋_GBK"/>
                <w:sz w:val="24"/>
              </w:rPr>
            </w:pPr>
            <w:r>
              <w:rPr>
                <w:rFonts w:ascii="方正仿宋_GBK" w:eastAsia="方正仿宋_GBK" w:cs="方正仿宋_GBK" w:hint="eastAsia"/>
                <w:kern w:val="0"/>
                <w:sz w:val="24"/>
              </w:rPr>
              <w:t>系统需满足与重庆市职业病防治平台接口对接，职业病危害因素需严格按照GBZ-188-2025执行，并适时根据最新标准进行更新，通过危害因素关联必检项目，并自动去重，能够实现职业健康</w:t>
            </w:r>
            <w:r>
              <w:rPr>
                <w:rFonts w:ascii="方正仿宋_GBK" w:eastAsia="方正仿宋_GBK" w:cs="方正仿宋_GBK" w:hint="eastAsia"/>
                <w:spacing w:val="9"/>
                <w:sz w:val="24"/>
              </w:rPr>
              <w:t>体检全流程管理（包括并不限于预约、登记、收费、采样、检查结果、评价、总检和个体报告、检查结果告知、查询统计等功能）。</w:t>
            </w:r>
          </w:p>
        </w:tc>
      </w:tr>
      <w:tr>
        <w:trPr>
          <w:trHeight w:val="510"/>
        </w:trPr>
        <w:tc>
          <w:tcPr>
            <w:tcW w:w="694" w:type="pct"/>
            <w:vMerge w:val="restar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危重异常管理</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危重异常统计</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自动统计体检过程中标记的危重异常人员数据，可查询导出</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危重异常处理</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针对危重异常数据，生成待处理的任务，可进行处理标记及回访</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危重异常处理记录</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每次危重异常处理都生成记录明细，可以查询导出，方便追溯。</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危重异常处理配置</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支持配置危重异常值，系统根据配置生成危重异常处理任务。</w:t>
            </w:r>
          </w:p>
        </w:tc>
      </w:tr>
      <w:tr>
        <w:trPr>
          <w:trHeight w:val="510"/>
        </w:trPr>
        <w:tc>
          <w:tcPr>
            <w:tcW w:w="694" w:type="pct"/>
            <w:vMerge w:val="restar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年度复检</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年度复检提醒管理</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支持根据系统配置自动创建待提醒的任务，并且在按规定时间自动触发短信/微信提醒。</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年度复检回访记录</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支持对年度复检的客户进行回访提醒，可记录回访结果，并生成回访记录。</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年度复检提醒记录</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系统提醒后，自动生成提醒记录，提醒失败的可手动再次触发。</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年度复检提醒配置</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支持配置提醒间隔时间、提醒时间、提前提醒天数等，可根据需求灵活设置。</w:t>
            </w:r>
          </w:p>
        </w:tc>
      </w:tr>
      <w:tr>
        <w:trPr>
          <w:trHeight w:val="510"/>
        </w:trPr>
        <w:tc>
          <w:tcPr>
            <w:tcW w:w="694" w:type="pct"/>
            <w:vMerge w:val="restar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b/>
                <w:sz w:val="24"/>
              </w:rPr>
              <w:t>▲</w:t>
            </w:r>
            <w:r>
              <w:rPr>
                <w:rFonts w:ascii="方正仿宋_GBK" w:eastAsia="方正仿宋_GBK" w:cs="方正仿宋_GBK" w:hint="eastAsia"/>
                <w:snapToGrid w:val="0"/>
                <w:kern w:val="0"/>
                <w:sz w:val="24"/>
              </w:rPr>
              <w:t>在线签字</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登记签字</w:t>
            </w:r>
          </w:p>
        </w:tc>
        <w:tc>
          <w:tcPr>
            <w:tcW w:w="3502" w:type="pct"/>
            <w:shd w:val="clear" w:color="FFFFFF" w:fill="auto"/>
            <w:noWrap/>
            <w:vAlign w:val="center"/>
          </w:tcPr>
          <w:p>
            <w:pPr>
              <w:widowControl/>
              <w:spacing w:line="520" w:lineRule="exact"/>
              <w:rPr>
                <w:rFonts w:ascii="方正仿宋_GBK" w:eastAsia="方正仿宋_GBK" w:cs="方正仿宋_GBK"/>
                <w:sz w:val="24"/>
              </w:rPr>
            </w:pPr>
            <w:r>
              <w:rPr>
                <w:rFonts w:ascii="方正仿宋_GBK" w:eastAsia="方正仿宋_GBK" w:cs="方正仿宋_GBK" w:hint="eastAsia"/>
                <w:sz w:val="24"/>
              </w:rPr>
              <w:t>支持对接签字设备，实现体检者手动签字后回传到体检系统保存电子签名，可在指引单体检报告中展示体检者的电子签名。</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问诊签字</w:t>
            </w:r>
          </w:p>
        </w:tc>
        <w:tc>
          <w:tcPr>
            <w:tcW w:w="3502" w:type="pct"/>
            <w:shd w:val="clear" w:color="FFFFFF" w:fill="auto"/>
            <w:noWrap/>
            <w:vAlign w:val="center"/>
          </w:tcPr>
          <w:p>
            <w:pPr>
              <w:widowControl/>
              <w:spacing w:line="520" w:lineRule="exact"/>
              <w:rPr>
                <w:rFonts w:ascii="方正仿宋_GBK" w:eastAsia="方正仿宋_GBK" w:cs="方正仿宋_GBK"/>
                <w:sz w:val="24"/>
              </w:rPr>
            </w:pPr>
            <w:r>
              <w:rPr>
                <w:rFonts w:ascii="方正仿宋_GBK" w:eastAsia="方正仿宋_GBK" w:cs="方正仿宋_GBK" w:hint="eastAsia"/>
                <w:sz w:val="24"/>
              </w:rPr>
              <w:t>支持在问诊页面进行签名。</w:t>
            </w:r>
          </w:p>
        </w:tc>
      </w:tr>
      <w:tr>
        <w:trPr>
          <w:trHeight w:val="510"/>
        </w:trPr>
        <w:tc>
          <w:tcPr>
            <w:tcW w:w="694"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b/>
                <w:sz w:val="24"/>
              </w:rPr>
              <w:t>▲</w:t>
            </w:r>
            <w:r>
              <w:rPr>
                <w:rFonts w:ascii="方正仿宋_GBK" w:eastAsia="方正仿宋_GBK" w:cs="方正仿宋_GBK" w:hint="eastAsia"/>
                <w:snapToGrid w:val="0"/>
                <w:kern w:val="0"/>
                <w:sz w:val="24"/>
              </w:rPr>
              <w:t>报价管理</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职业体检报价</w:t>
            </w:r>
          </w:p>
        </w:tc>
        <w:tc>
          <w:tcPr>
            <w:tcW w:w="3502" w:type="pct"/>
            <w:shd w:val="clear" w:color="FFFFFF" w:fill="auto"/>
            <w:noWrap/>
            <w:vAlign w:val="center"/>
          </w:tcPr>
          <w:p>
            <w:pPr>
              <w:widowControl/>
              <w:spacing w:line="520" w:lineRule="exact"/>
              <w:rPr>
                <w:rFonts w:ascii="方正仿宋_GBK" w:eastAsia="方正仿宋_GBK" w:cs="方正仿宋_GBK"/>
                <w:sz w:val="24"/>
              </w:rPr>
            </w:pPr>
            <w:r>
              <w:rPr>
                <w:rFonts w:ascii="方正仿宋_GBK" w:eastAsia="方正仿宋_GBK" w:cs="方正仿宋_GBK" w:hint="eastAsia"/>
                <w:sz w:val="24"/>
              </w:rPr>
              <w:t>职业体检报价，支持针对体检单位进行报价，可按不同的体检种类（岗前、在岗、离岗等）+危害因素组合进行报价，并且支持追加体检项目，支持导出报价单。</w:t>
            </w:r>
          </w:p>
        </w:tc>
      </w:tr>
      <w:tr>
        <w:trPr>
          <w:trHeight w:val="510"/>
        </w:trPr>
        <w:tc>
          <w:tcPr>
            <w:tcW w:w="694" w:type="pct"/>
            <w:vMerge w:val="restar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体检预约</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b/>
                <w:sz w:val="24"/>
              </w:rPr>
              <w:t>▲</w:t>
            </w:r>
            <w:r>
              <w:rPr>
                <w:rFonts w:ascii="方正仿宋_GBK" w:eastAsia="方正仿宋_GBK" w:cs="方正仿宋_GBK" w:hint="eastAsia"/>
                <w:snapToGrid w:val="0"/>
                <w:kern w:val="0"/>
                <w:sz w:val="24"/>
              </w:rPr>
              <w:t>团体预约导入</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1）支持</w:t>
            </w:r>
            <w:r>
              <w:rPr>
                <w:rFonts w:ascii="方正仿宋_GBK" w:eastAsia="方正仿宋_GBK" w:cs="方正仿宋_GBK" w:hint="eastAsia"/>
                <w:sz w:val="24"/>
              </w:rPr>
              <w:t>受理人员</w:t>
            </w:r>
            <w:r>
              <w:rPr>
                <w:rFonts w:ascii="方正仿宋_GBK" w:eastAsia="方正仿宋_GBK" w:cs="方正仿宋_GBK" w:hint="eastAsia"/>
                <w:kern w:val="0"/>
                <w:sz w:val="24"/>
              </w:rPr>
              <w:t>通过已有模板导入预约信息；</w:t>
            </w:r>
          </w:p>
          <w:p>
            <w:pPr>
              <w:pStyle w:val="82"/>
              <w:spacing w:line="520" w:lineRule="exact"/>
              <w:rPr>
                <w:rFonts w:ascii="方正仿宋_GBK" w:eastAsia="方正仿宋_GBK" w:cs="方正仿宋_GBK"/>
                <w:sz w:val="24"/>
                <w:szCs w:val="24"/>
              </w:rPr>
            </w:pPr>
            <w:r>
              <w:rPr>
                <w:rFonts w:ascii="方正仿宋_GBK" w:eastAsia="方正仿宋_GBK" w:cs="方正仿宋_GBK" w:hint="eastAsia"/>
                <w:sz w:val="24"/>
                <w:szCs w:val="24"/>
              </w:rPr>
              <w:t>2）支持受检单位用已有模板导入预约信息后由受理人员审核；</w:t>
            </w:r>
          </w:p>
          <w:p>
            <w:pPr>
              <w:pStyle w:val="82"/>
              <w:spacing w:line="520" w:lineRule="exact"/>
              <w:rPr>
                <w:rFonts w:ascii="方正仿宋_GBK" w:eastAsia="方正仿宋_GBK" w:cs="方正仿宋_GBK"/>
                <w:sz w:val="24"/>
                <w:szCs w:val="24"/>
              </w:rPr>
            </w:pPr>
            <w:r>
              <w:rPr>
                <w:rFonts w:ascii="方正仿宋_GBK" w:eastAsia="方正仿宋_GBK" w:cs="方正仿宋_GBK" w:hint="eastAsia"/>
                <w:sz w:val="24"/>
                <w:szCs w:val="24"/>
              </w:rPr>
              <w:t>3）支持预约导入输入折扣或者折后价格；</w:t>
            </w:r>
          </w:p>
          <w:p>
            <w:pPr>
              <w:pStyle w:val="82"/>
              <w:spacing w:line="520" w:lineRule="exact"/>
              <w:rPr>
                <w:rFonts w:ascii="方正仿宋_GBK" w:eastAsia="方正仿宋_GBK" w:cs="方正仿宋_GBK"/>
                <w:kern w:val="0"/>
                <w:sz w:val="24"/>
                <w:szCs w:val="24"/>
              </w:rPr>
            </w:pPr>
            <w:r>
              <w:rPr>
                <w:rFonts w:ascii="方正仿宋_GBK" w:eastAsia="方正仿宋_GBK" w:cs="方正仿宋_GBK" w:hint="eastAsia"/>
                <w:sz w:val="24"/>
                <w:szCs w:val="24"/>
              </w:rPr>
              <w:t>4）</w:t>
            </w:r>
            <w:r>
              <w:rPr>
                <w:rFonts w:ascii="方正仿宋_GBK" w:eastAsia="方正仿宋_GBK" w:cs="方正仿宋_GBK" w:hint="eastAsia"/>
                <w:kern w:val="0"/>
                <w:sz w:val="24"/>
                <w:szCs w:val="24"/>
              </w:rPr>
              <w:t>支持一键导入预约多种危害因素类型。按《职业健康监护技术规范GBZ 188-2025》标准，按照接害因素、体检类别（上岗前、在岗期间、离岗时、离岗后）自动获取必检项目；</w:t>
            </w:r>
          </w:p>
          <w:p>
            <w:pPr>
              <w:pStyle w:val="82"/>
              <w:spacing w:line="520" w:lineRule="exact"/>
              <w:rPr>
                <w:rFonts w:ascii="方正仿宋_GBK" w:eastAsia="方正仿宋_GBK" w:cs="方正仿宋_GBK"/>
                <w:kern w:val="0"/>
                <w:sz w:val="24"/>
                <w:szCs w:val="24"/>
              </w:rPr>
            </w:pPr>
            <w:r>
              <w:rPr>
                <w:rFonts w:ascii="方正仿宋_GBK" w:eastAsia="方正仿宋_GBK" w:cs="方正仿宋_GBK" w:hint="eastAsia"/>
                <w:kern w:val="0"/>
                <w:sz w:val="24"/>
                <w:szCs w:val="24"/>
              </w:rPr>
              <w:t>5）支持导入单位套餐或体检套餐；</w:t>
            </w:r>
          </w:p>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6）支持追加体检项目导入；</w:t>
            </w:r>
          </w:p>
          <w:p>
            <w:pPr>
              <w:pStyle w:val="82"/>
              <w:spacing w:line="520" w:lineRule="exact"/>
              <w:rPr>
                <w:rFonts w:ascii="方正仿宋_GBK" w:eastAsia="方正仿宋_GBK" w:cs="方正仿宋_GBK"/>
                <w:sz w:val="24"/>
                <w:szCs w:val="24"/>
              </w:rPr>
            </w:pPr>
            <w:r>
              <w:rPr>
                <w:rFonts w:ascii="方正仿宋_GBK" w:eastAsia="方正仿宋_GBK" w:cs="方正仿宋_GBK" w:hint="eastAsia"/>
                <w:sz w:val="24"/>
                <w:szCs w:val="24"/>
              </w:rPr>
              <w:t>7）支持普通、职业体检同时预约导入进行体检。</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职业史导入</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对已有的预约人员导入个人职业史。</w:t>
            </w:r>
          </w:p>
        </w:tc>
      </w:tr>
      <w:tr>
        <w:trPr>
          <w:trHeight w:val="9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组合项目导出</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支持导出已预约人员体检项目导出。</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预约过期</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支持根据实际情况设置预约过期天数，过期后的预约数据登记无法带出。</w:t>
            </w:r>
          </w:p>
        </w:tc>
      </w:tr>
      <w:tr>
        <w:trPr>
          <w:trHeight w:val="51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预约导出</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支持已有预约数据导出。</w:t>
            </w:r>
          </w:p>
        </w:tc>
      </w:tr>
      <w:tr>
        <w:trPr>
          <w:trHeight w:val="285"/>
        </w:trPr>
        <w:tc>
          <w:tcPr>
            <w:tcW w:w="694" w:type="pct"/>
            <w:vMerge w:val="restar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登记管理</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个检登记</w:t>
            </w:r>
          </w:p>
        </w:tc>
        <w:tc>
          <w:tcPr>
            <w:tcW w:w="3502"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 xml:space="preserve">系统支持二代身份证的读阅和身份证信息自动采集功能。性别功能可自动识别男女项目。婚否功能自动区分未婚、已婚项目。 </w:t>
            </w:r>
          </w:p>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 xml:space="preserve">通过前台体检登记，打印体检指引单（指引单上有条码）。                                                                                                                                                                                          </w:t>
            </w:r>
          </w:p>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涉及性别项目自动禁止开出检查项。快速登记，支持现场拍照或获取身份证上照片。</w:t>
            </w:r>
          </w:p>
          <w:p>
            <w:pPr>
              <w:widowControl/>
              <w:spacing w:line="520" w:lineRule="exact"/>
              <w:jc w:val="left"/>
              <w:rPr>
                <w:rFonts w:ascii="方正仿宋_GBK" w:eastAsia="方正仿宋_GBK" w:cs="方正仿宋_GBK"/>
                <w:sz w:val="24"/>
              </w:rPr>
            </w:pPr>
            <w:r>
              <w:rPr>
                <w:rFonts w:ascii="方正仿宋_GBK" w:eastAsia="方正仿宋_GBK" w:cs="方正仿宋_GBK" w:hint="eastAsia"/>
                <w:kern w:val="0"/>
                <w:sz w:val="24"/>
              </w:rPr>
              <w:t>具有项目互斥功能。同类检查项目需自动避免重复。</w:t>
            </w:r>
          </w:p>
        </w:tc>
      </w:tr>
      <w:tr>
        <w:trPr>
          <w:trHeight w:val="285"/>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折扣管理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支持总价折扣，单项目折扣，或直接输入打折金额自动生成折扣率。</w:t>
            </w:r>
          </w:p>
        </w:tc>
      </w:tr>
      <w:tr>
        <w:trPr>
          <w:trHeight w:val="90"/>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组合结算</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支持多种结算方式，包括并不限于公司项目挂账，个人加项自费等。</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指引单</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指引单预览与打印，可快速补打指引单，支持打印份数选择</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条形码</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条形码预览与打印，可快速补打条形码或指引单，支持条码或指引单打印份数选择。</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资料修改</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对未评价未收费的已登记的体检人员信息的修改维护。</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团检登记</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系统支持二代身份证的读阅和身份证信息自动采集功能。对团检预约登记的体检人员，刷身份证，即可显示预约的危害因素及所有信息。快速进行前台体检登记，打印体检指引单（指引单上有条码）。</w:t>
            </w:r>
          </w:p>
          <w:p>
            <w:pPr>
              <w:widowControl/>
              <w:spacing w:line="520" w:lineRule="exact"/>
              <w:rPr>
                <w:rFonts w:ascii="方正仿宋_GBK" w:eastAsia="方正仿宋_GBK" w:cs="方正仿宋_GBK"/>
                <w:sz w:val="24"/>
              </w:rPr>
            </w:pPr>
            <w:r>
              <w:rPr>
                <w:rFonts w:ascii="方正仿宋_GBK" w:eastAsia="方正仿宋_GBK" w:cs="方正仿宋_GBK" w:hint="eastAsia"/>
                <w:kern w:val="0"/>
                <w:sz w:val="24"/>
              </w:rPr>
              <w:t>单位体检完毕后统一结算，个人在确定体检项目后即可缴费。</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kern w:val="0"/>
                <w:sz w:val="24"/>
              </w:rPr>
              <w:t>客户标签</w:t>
            </w:r>
          </w:p>
        </w:tc>
        <w:tc>
          <w:tcPr>
            <w:tcW w:w="3502" w:type="pct"/>
            <w:shd w:val="clear" w:color="FFFFFF" w:fill="auto"/>
            <w:noWrap/>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支持根据客户情况，为客户标记标签，这些标签客户不可见，且在医生端并不直接显示内容，只显示图标。</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项目变更</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对未评价的已登记体检者体检项目进行增加或者减少。</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撤销</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对登记错误的信息，且未评价未收费的进行撤销登记处理。</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弃检</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支持登记时直接标记弃检，方便后面科室、无需处理。</w:t>
            </w:r>
          </w:p>
        </w:tc>
      </w:tr>
      <w:tr>
        <w:trPr>
          <w:trHeight w:val="15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b/>
                <w:sz w:val="24"/>
              </w:rPr>
              <w:t>▲</w:t>
            </w:r>
            <w:r>
              <w:rPr>
                <w:rFonts w:ascii="方正仿宋_GBK" w:eastAsia="方正仿宋_GBK" w:cs="方正仿宋_GBK" w:hint="eastAsia"/>
                <w:snapToGrid w:val="0"/>
                <w:kern w:val="0"/>
                <w:sz w:val="24"/>
              </w:rPr>
              <w:t>换项</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支持已登记的项目进行换项，系统自动计算差价。</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保存到预约</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支持医生根据客户的实际情况进行体检项目建议，并添加项目后保存到预约，受理登记可直接刷身份证一键导入。</w:t>
            </w:r>
          </w:p>
        </w:tc>
      </w:tr>
      <w:tr>
        <w:trPr>
          <w:trHeight w:val="285"/>
        </w:trPr>
        <w:tc>
          <w:tcPr>
            <w:tcW w:w="694"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收费管理</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收费</w:t>
            </w:r>
          </w:p>
        </w:tc>
        <w:tc>
          <w:tcPr>
            <w:tcW w:w="3502" w:type="pct"/>
            <w:shd w:val="clear" w:color="FFFFFF" w:fill="auto"/>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可通过微信移动端、导检单二维码线上缴费；</w:t>
            </w:r>
          </w:p>
          <w:p>
            <w:pPr>
              <w:spacing w:line="520" w:lineRule="exact"/>
              <w:rPr>
                <w:rFonts w:ascii="方正仿宋_GBK" w:eastAsia="方正仿宋_GBK" w:cs="方正仿宋_GBK"/>
                <w:sz w:val="24"/>
              </w:rPr>
            </w:pPr>
            <w:r>
              <w:rPr>
                <w:rFonts w:ascii="方正仿宋_GBK" w:eastAsia="方正仿宋_GBK" w:cs="方正仿宋_GBK" w:hint="eastAsia"/>
                <w:sz w:val="24"/>
              </w:rPr>
              <w:t>用户线上支付后、实现移动端电子票据的下载；</w:t>
            </w:r>
          </w:p>
          <w:p>
            <w:pPr>
              <w:widowControl/>
              <w:spacing w:line="520" w:lineRule="exact"/>
              <w:rPr>
                <w:rFonts w:ascii="方正仿宋_GBK" w:eastAsia="方正仿宋_GBK" w:cs="方正仿宋_GBK"/>
                <w:sz w:val="24"/>
              </w:rPr>
            </w:pPr>
            <w:r>
              <w:rPr>
                <w:rFonts w:ascii="方正仿宋_GBK" w:eastAsia="方正仿宋_GBK" w:cs="方正仿宋_GBK" w:hint="eastAsia"/>
                <w:kern w:val="0"/>
                <w:sz w:val="24"/>
              </w:rPr>
              <w:t>可以根据选择体检套餐的情况，进行明细收费处理，打印发票，并能够进行退费等处理。</w:t>
            </w:r>
          </w:p>
        </w:tc>
      </w:tr>
      <w:tr>
        <w:trPr>
          <w:trHeight w:val="28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shd w:val="clear" w:color="auto" w:fill="FFFFFF"/>
              </w:rPr>
            </w:pPr>
            <w:r>
              <w:rPr>
                <w:rFonts w:ascii="方正仿宋_GBK" w:eastAsia="方正仿宋_GBK" w:cs="方正仿宋_GBK" w:hint="eastAsia"/>
                <w:kern w:val="0"/>
                <w:sz w:val="24"/>
                <w:shd w:val="clear" w:color="auto" w:fill="FFFFFF"/>
              </w:rPr>
              <w:t>采血</w:t>
            </w:r>
          </w:p>
        </w:tc>
        <w:tc>
          <w:tcPr>
            <w:tcW w:w="803" w:type="pc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采血确认</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支持采血时扫码确认，可直接看到体检者的检验类别及各个项目明细，避免出错。</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采血并采样</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支持采血确认时，同时自动采样，并可勾选自动打印条码，简化工作流程。</w:t>
            </w:r>
          </w:p>
        </w:tc>
      </w:tr>
      <w:tr>
        <w:trPr>
          <w:trHeight w:val="28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采样</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条码识别</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支持条码识别，自动生成实验室编码，支持采样类型分开采样、综合采样；</w:t>
            </w:r>
          </w:p>
        </w:tc>
      </w:tr>
      <w:tr>
        <w:trPr>
          <w:trHeight w:val="632"/>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条码打印</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支持条码打印预览。</w:t>
            </w:r>
          </w:p>
        </w:tc>
      </w:tr>
      <w:tr>
        <w:trPr>
          <w:trHeight w:val="28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实验室工作站</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数据对接</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支持实验室数据上传，对仪器或系统对接自动同步无需手动填入，支持覆盖上传结果，支持项目结果修改；</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外送对接</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支持实验室检查项目及结果导入导出功能，如有外送项目支持下载系统中的已有模板整理后导入上传结果，支持检查结果为文字类型的项目批量正常结果上传。</w:t>
            </w:r>
          </w:p>
        </w:tc>
      </w:tr>
      <w:tr>
        <w:trPr>
          <w:trHeight w:val="28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影像室工作站</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b/>
                <w:sz w:val="24"/>
              </w:rPr>
              <w:t>▲</w:t>
            </w:r>
            <w:r>
              <w:rPr>
                <w:rFonts w:ascii="方正仿宋_GBK" w:eastAsia="方正仿宋_GBK" w:cs="方正仿宋_GBK" w:hint="eastAsia"/>
                <w:snapToGrid w:val="0"/>
                <w:kern w:val="0"/>
                <w:sz w:val="24"/>
              </w:rPr>
              <w:t>数据对接</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可直接对接彩超设备，支持设备按键直接采图，采图数据实时传输到体检系统，可实时查看图片，并支持删除图片、图片排序、选择展示到报告的图片等操作；</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结果录入</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支持选中检查人员批量上传结果正常结果（非特殊项目和非数字类型检查除外），对异常结果进行修改或词条选择，可自定义项目词条。</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图片上传</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支持对文字类型检查影像项目上传图片或批量上传项目图片。</w:t>
            </w:r>
          </w:p>
        </w:tc>
      </w:tr>
      <w:tr>
        <w:trPr>
          <w:trHeight w:val="425"/>
        </w:trPr>
        <w:tc>
          <w:tcPr>
            <w:tcW w:w="694" w:type="pct"/>
            <w:vMerge w:val="restar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检查结果</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结果录入</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具有完善的检查结果知识库模板，医生只需勾选阳性结果后即可自动产生诊断和建议。</w:t>
            </w:r>
          </w:p>
          <w:p>
            <w:pPr>
              <w:widowControl/>
              <w:spacing w:line="520" w:lineRule="exact"/>
              <w:rPr>
                <w:rFonts w:ascii="方正仿宋_GBK" w:eastAsia="方正仿宋_GBK" w:cs="方正仿宋_GBK"/>
                <w:sz w:val="24"/>
              </w:rPr>
            </w:pPr>
            <w:r>
              <w:rPr>
                <w:rFonts w:ascii="方正仿宋_GBK" w:eastAsia="方正仿宋_GBK" w:cs="方正仿宋_GBK" w:hint="eastAsia"/>
                <w:kern w:val="0"/>
                <w:sz w:val="24"/>
              </w:rPr>
              <w:t>支持选中检查人员批量上传结果正常结果（非特殊项目和非数字类型检查除外），对异常结果进行修改或词条选择，可自定义项目词条。</w:t>
            </w:r>
          </w:p>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支持单项检查自动公式判断编辑，提供智能化自动生成分检结果。</w:t>
            </w:r>
          </w:p>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各个科室体检医生能通过条码扫描扫出受检者在当前科室的检查项目，依次输入各个检查项目的结果，科室小结，系统自动产生诊断和建议。</w:t>
            </w:r>
          </w:p>
        </w:tc>
      </w:tr>
      <w:tr>
        <w:trPr>
          <w:trHeight w:val="425"/>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z w:val="24"/>
              </w:rPr>
              <w:t>特殊项目结果录入</w:t>
            </w:r>
          </w:p>
        </w:tc>
        <w:tc>
          <w:tcPr>
            <w:tcW w:w="3502" w:type="pct"/>
            <w:shd w:val="clear" w:color="FFFFFF" w:fill="auto"/>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1）支持纯音听阈测试通过网格图记录，点击“计算”自动算出左右耳修正值进行。</w:t>
            </w:r>
          </w:p>
          <w:p>
            <w:pPr>
              <w:spacing w:line="520" w:lineRule="exact"/>
              <w:rPr>
                <w:rFonts w:ascii="方正仿宋_GBK" w:eastAsia="方正仿宋_GBK" w:cs="方正仿宋_GBK"/>
                <w:sz w:val="24"/>
              </w:rPr>
            </w:pPr>
            <w:r>
              <w:rPr>
                <w:rFonts w:ascii="方正仿宋_GBK" w:eastAsia="方正仿宋_GBK" w:cs="方正仿宋_GBK" w:hint="eastAsia"/>
                <w:sz w:val="24"/>
              </w:rPr>
              <w:t>2）血压支持输入000/000格式。</w:t>
            </w:r>
          </w:p>
          <w:p>
            <w:pPr>
              <w:spacing w:line="520" w:lineRule="exact"/>
              <w:rPr>
                <w:rFonts w:ascii="方正仿宋_GBK" w:eastAsia="方正仿宋_GBK" w:cs="方正仿宋_GBK"/>
                <w:sz w:val="24"/>
              </w:rPr>
            </w:pPr>
            <w:r>
              <w:rPr>
                <w:rFonts w:ascii="方正仿宋_GBK" w:eastAsia="方正仿宋_GBK" w:cs="方正仿宋_GBK" w:hint="eastAsia"/>
                <w:sz w:val="24"/>
              </w:rPr>
              <w:t>3）肺功能可配置公式后自动获取肺功能结论。</w:t>
            </w:r>
          </w:p>
          <w:p>
            <w:pPr>
              <w:widowControl/>
              <w:spacing w:line="520" w:lineRule="exact"/>
              <w:rPr>
                <w:rFonts w:ascii="方正仿宋_GBK" w:eastAsia="方正仿宋_GBK" w:cs="方正仿宋_GBK"/>
                <w:kern w:val="0"/>
                <w:sz w:val="24"/>
              </w:rPr>
            </w:pPr>
            <w:r>
              <w:rPr>
                <w:rFonts w:ascii="方正仿宋_GBK" w:eastAsia="方正仿宋_GBK" w:cs="方正仿宋_GBK" w:hint="eastAsia"/>
                <w:sz w:val="24"/>
              </w:rPr>
              <w:t>4）眼晶体环面及其正面图支持在晶体正面图和侧面图上标记异常点。</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危急、重大异常</w:t>
            </w:r>
          </w:p>
        </w:tc>
        <w:tc>
          <w:tcPr>
            <w:tcW w:w="3502" w:type="pct"/>
            <w:shd w:val="clear" w:color="FFFFFF" w:fill="auto"/>
            <w:vAlign w:val="center"/>
          </w:tcPr>
          <w:p>
            <w:pPr>
              <w:spacing w:line="520" w:lineRule="exact"/>
              <w:rPr>
                <w:rFonts w:ascii="方正仿宋_GBK" w:eastAsia="方正仿宋_GBK" w:cs="方正仿宋_GBK"/>
                <w:kern w:val="0"/>
                <w:sz w:val="24"/>
              </w:rPr>
            </w:pPr>
            <w:r>
              <w:rPr>
                <w:rFonts w:ascii="方正仿宋_GBK" w:eastAsia="方正仿宋_GBK" w:cs="方正仿宋_GBK" w:hint="eastAsia"/>
                <w:sz w:val="24"/>
              </w:rPr>
              <w:t>系统可自由设置重大阳性指标和危急值标准，智能弹窗提醒对应科室人员，实时掌控受检者情况，避免纠纷；</w:t>
            </w:r>
          </w:p>
        </w:tc>
      </w:tr>
      <w:tr>
        <w:trPr>
          <w:trHeight w:val="90"/>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体检查询</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支持根据已完成或未完成的状态查询体检者完成情况，是否完成体检或者未体检的项目。</w:t>
            </w:r>
          </w:p>
        </w:tc>
      </w:tr>
      <w:tr>
        <w:trPr>
          <w:trHeight w:val="90"/>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图片上传</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支持对文字类型检查项目上传图片或批量上传项目图片。</w:t>
            </w:r>
          </w:p>
        </w:tc>
      </w:tr>
      <w:tr>
        <w:trPr>
          <w:trHeight w:val="90"/>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筛选项目上结果</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支持医生通过项目设置灵活选择需要检查或需要审核的项目。</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权限与审核</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1）支持权限限制医生只看到自己需检查项目；</w:t>
            </w:r>
          </w:p>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2）支持上完结果后进行审核操作。</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检中增项</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医生可以根据患者检查的情况随时新增体检项目。</w:t>
            </w:r>
          </w:p>
        </w:tc>
      </w:tr>
      <w:tr>
        <w:trPr>
          <w:trHeight w:val="28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snapToGrid w:val="0"/>
                <w:kern w:val="0"/>
                <w:sz w:val="24"/>
              </w:rPr>
              <w:t>问诊</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自定义问诊</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sz w:val="24"/>
              </w:rPr>
              <w:t>专业的问诊模块，符合健康体检和职业病体检问诊要求，可批量导入问诊内容，生成问诊信息；</w:t>
            </w:r>
            <w:r>
              <w:rPr>
                <w:rFonts w:ascii="方正仿宋_GBK" w:eastAsia="方正仿宋_GBK" w:cs="方正仿宋_GBK" w:hint="eastAsia"/>
                <w:kern w:val="0"/>
                <w:sz w:val="24"/>
              </w:rPr>
              <w:t>可根据不同体检类型配置不同的问诊项。</w:t>
            </w:r>
          </w:p>
        </w:tc>
      </w:tr>
      <w:tr>
        <w:trPr>
          <w:trHeight w:val="1706"/>
        </w:trPr>
        <w:tc>
          <w:tcPr>
            <w:tcW w:w="694" w:type="pct"/>
            <w:vMerge/>
            <w:shd w:val="clear" w:color="FFFFFF" w:fill="auto"/>
            <w:vAlign w:val="center"/>
          </w:tcPr>
          <w:p/>
        </w:tc>
        <w:tc>
          <w:tcPr>
            <w:tcW w:w="803" w:type="pct"/>
            <w:shd w:val="clear" w:color="FFFFFF" w:fill="auto"/>
            <w:noWrap/>
            <w:vAlign w:val="center"/>
          </w:tcPr>
          <w:p>
            <w:pPr>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职业史</w:t>
            </w:r>
          </w:p>
        </w:tc>
        <w:tc>
          <w:tcPr>
            <w:tcW w:w="3502" w:type="pct"/>
            <w:shd w:val="clear" w:color="FFFFFF" w:fill="auto"/>
            <w:vAlign w:val="center"/>
          </w:tcPr>
          <w:p>
            <w:pPr>
              <w:widowControl/>
              <w:spacing w:line="520" w:lineRule="exact"/>
              <w:rPr>
                <w:rFonts w:ascii="方正仿宋_GBK" w:eastAsia="方正仿宋_GBK" w:cs="方正仿宋_GBK"/>
                <w:sz w:val="24"/>
              </w:rPr>
            </w:pPr>
            <w:r>
              <w:rPr>
                <w:rFonts w:ascii="方正仿宋_GBK" w:eastAsia="方正仿宋_GBK" w:cs="方正仿宋_GBK" w:hint="eastAsia"/>
                <w:sz w:val="24"/>
              </w:rPr>
              <w:t>1）职业史可根据体检者的工龄自动计算出起始时间和截止时间。</w:t>
            </w:r>
          </w:p>
          <w:p>
            <w:pPr>
              <w:widowControl/>
              <w:spacing w:line="520" w:lineRule="exact"/>
              <w:rPr>
                <w:rFonts w:ascii="方正仿宋_GBK" w:eastAsia="方正仿宋_GBK" w:cs="方正仿宋_GBK"/>
                <w:sz w:val="24"/>
              </w:rPr>
            </w:pPr>
            <w:r>
              <w:rPr>
                <w:rFonts w:ascii="方正仿宋_GBK" w:eastAsia="方正仿宋_GBK" w:cs="方正仿宋_GBK" w:hint="eastAsia"/>
                <w:sz w:val="24"/>
              </w:rPr>
              <w:t>2）默认获取当前工作单位、车间/部门、工种、危害因素、接触时间、防护措施。</w:t>
            </w:r>
          </w:p>
          <w:p>
            <w:pPr>
              <w:spacing w:line="520" w:lineRule="exact"/>
              <w:rPr>
                <w:rFonts w:ascii="方正仿宋_GBK" w:eastAsia="方正仿宋_GBK" w:cs="方正仿宋_GBK"/>
                <w:kern w:val="0"/>
                <w:sz w:val="24"/>
              </w:rPr>
            </w:pPr>
            <w:r>
              <w:rPr>
                <w:rFonts w:ascii="方正仿宋_GBK" w:eastAsia="方正仿宋_GBK" w:cs="方正仿宋_GBK" w:hint="eastAsia"/>
                <w:sz w:val="24"/>
              </w:rPr>
              <w:t>3）</w:t>
            </w:r>
            <w:r>
              <w:rPr>
                <w:rFonts w:ascii="方正仿宋_GBK" w:eastAsia="方正仿宋_GBK" w:cs="方正仿宋_GBK" w:hint="eastAsia"/>
                <w:kern w:val="0"/>
                <w:sz w:val="24"/>
              </w:rPr>
              <w:t>在本系统问诊后产生的职业史问诊信息同步</w:t>
            </w:r>
            <w:r>
              <w:rPr>
                <w:rFonts w:ascii="方正仿宋_GBK" w:eastAsia="方正仿宋_GBK" w:cs="方正仿宋_GBK" w:hint="eastAsia"/>
                <w:sz w:val="24"/>
              </w:rPr>
              <w:t>。</w:t>
            </w:r>
          </w:p>
        </w:tc>
      </w:tr>
      <w:tr>
        <w:trPr>
          <w:trHeight w:val="1016"/>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b/>
                <w:sz w:val="24"/>
              </w:rPr>
              <w:t>▲</w:t>
            </w:r>
            <w:r>
              <w:rPr>
                <w:rFonts w:ascii="方正仿宋_GBK" w:eastAsia="方正仿宋_GBK" w:cs="方正仿宋_GBK" w:hint="eastAsia"/>
                <w:kern w:val="0"/>
                <w:sz w:val="24"/>
              </w:rPr>
              <w:t>检前质控</w:t>
            </w:r>
          </w:p>
        </w:tc>
        <w:tc>
          <w:tcPr>
            <w:tcW w:w="803" w:type="pct"/>
            <w:shd w:val="clear" w:color="FFFFFF" w:fill="auto"/>
            <w:noWrap/>
            <w:vAlign w:val="center"/>
          </w:tcPr>
          <w:p>
            <w:pPr>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检前质控</w:t>
            </w:r>
          </w:p>
        </w:tc>
        <w:tc>
          <w:tcPr>
            <w:tcW w:w="3502" w:type="pct"/>
            <w:shd w:val="clear" w:color="FFFFFF" w:fill="auto"/>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总检前支持进行质控操作，可将科室问题结果填写原因后驳回科室，科室可收到驳回的项目，并且能看到驳回原因，可修改后重新提交。</w:t>
            </w:r>
          </w:p>
        </w:tc>
      </w:tr>
      <w:tr>
        <w:trPr>
          <w:trHeight w:val="736"/>
        </w:trPr>
        <w:tc>
          <w:tcPr>
            <w:tcW w:w="694" w:type="pct"/>
            <w:vMerge/>
            <w:shd w:val="clear" w:color="FFFFFF" w:fill="auto"/>
            <w:vAlign w:val="center"/>
          </w:tcPr>
          <w:p/>
        </w:tc>
        <w:tc>
          <w:tcPr>
            <w:tcW w:w="803" w:type="pct"/>
            <w:shd w:val="clear" w:color="FFFFFF" w:fill="auto"/>
            <w:noWrap/>
            <w:vAlign w:val="center"/>
          </w:tcPr>
          <w:p>
            <w:pPr>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质控明细</w:t>
            </w:r>
          </w:p>
        </w:tc>
        <w:tc>
          <w:tcPr>
            <w:tcW w:w="3502" w:type="pct"/>
            <w:shd w:val="clear" w:color="FFFFFF" w:fill="auto"/>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系统自动生成质控明细表，可查询导出，进行后续分析研究，进行内部反思改进。</w:t>
            </w:r>
          </w:p>
        </w:tc>
      </w:tr>
      <w:tr>
        <w:trPr>
          <w:trHeight w:val="736"/>
        </w:trPr>
        <w:tc>
          <w:tcPr>
            <w:tcW w:w="694"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b/>
                <w:sz w:val="24"/>
              </w:rPr>
              <w:t>▲</w:t>
            </w:r>
            <w:r>
              <w:rPr>
                <w:rFonts w:ascii="方正仿宋_GBK" w:eastAsia="方正仿宋_GBK" w:cs="方正仿宋_GBK" w:hint="eastAsia"/>
                <w:kern w:val="0"/>
                <w:sz w:val="24"/>
              </w:rPr>
              <w:t>预总检</w:t>
            </w:r>
          </w:p>
        </w:tc>
        <w:tc>
          <w:tcPr>
            <w:tcW w:w="803" w:type="pct"/>
            <w:shd w:val="clear" w:color="FFFFFF" w:fill="auto"/>
            <w:noWrap/>
            <w:vAlign w:val="center"/>
          </w:tcPr>
          <w:p>
            <w:pPr>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预总检</w:t>
            </w:r>
          </w:p>
        </w:tc>
        <w:tc>
          <w:tcPr>
            <w:tcW w:w="3502" w:type="pct"/>
            <w:shd w:val="clear" w:color="FFFFFF" w:fill="auto"/>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支持部分项目未完成时，可提前进行预总检，等结果全部完成后，总检时会自动载入预总检的数据，避免个别外送项目或周期长的项目同一天回来导致工作堆积。</w:t>
            </w:r>
          </w:p>
        </w:tc>
      </w:tr>
      <w:tr>
        <w:trPr>
          <w:trHeight w:val="28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总检评价</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结果显示</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支持受检者基本信息及结果展示，异常结果、已评价、危急值、重大异常做不同颜色醒目提示。</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信息筛选</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支持受检者信息筛选功能，登记时间、评价时间、评价审核时间，评价已审核、评价未审核，受检者姓名，受检者身份证，受检者体检编号筛选条件进行查询。</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结论意见</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支持职业病对单个危害因素下结论，需符合国标及重庆市职业病防治管理平台对应结论内容。</w:t>
            </w:r>
          </w:p>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如配有医学建议词条则可自动根据项目异常带出对应的医学建议词条。</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检查综述自动获取</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支持异常结论自动获取展示。</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取消评价</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总检评价后项目检查内容不可更改，如需更改可取消评价后才可更改检查项目结果内容。</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自定义评价结论内容</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支持诊断建议内容自定义，自动排列对应建议内容</w:t>
            </w:r>
          </w:p>
        </w:tc>
      </w:tr>
      <w:tr>
        <w:trPr>
          <w:trHeight w:val="285"/>
        </w:trPr>
        <w:tc>
          <w:tcPr>
            <w:tcW w:w="694"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b/>
                <w:sz w:val="24"/>
              </w:rPr>
              <w:t>▲</w:t>
            </w:r>
            <w:r>
              <w:rPr>
                <w:rFonts w:ascii="方正仿宋_GBK" w:eastAsia="方正仿宋_GBK" w:cs="方正仿宋_GBK" w:hint="eastAsia"/>
                <w:snapToGrid w:val="0"/>
                <w:kern w:val="0"/>
                <w:sz w:val="24"/>
              </w:rPr>
              <w:t>历史查询</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历史查询</w:t>
            </w:r>
          </w:p>
        </w:tc>
        <w:tc>
          <w:tcPr>
            <w:tcW w:w="3502" w:type="pct"/>
            <w:shd w:val="clear" w:color="FFFFFF" w:fill="auto"/>
            <w:vAlign w:val="center"/>
          </w:tcPr>
          <w:p>
            <w:pPr>
              <w:spacing w:line="520" w:lineRule="exact"/>
              <w:rPr>
                <w:rFonts w:ascii="方正仿宋_GBK" w:eastAsia="方正仿宋_GBK" w:cs="方正仿宋_GBK"/>
                <w:kern w:val="0"/>
                <w:sz w:val="24"/>
              </w:rPr>
            </w:pPr>
            <w:r>
              <w:rPr>
                <w:rFonts w:ascii="方正仿宋_GBK" w:eastAsia="方正仿宋_GBK" w:cs="方正仿宋_GBK" w:hint="eastAsia"/>
                <w:sz w:val="24"/>
              </w:rPr>
              <w:t>可通过系统查看受检者多次体检的历史数据，并对比各年体检数据的走势等，更准确贴心的为受检者提供评价建议。</w:t>
            </w:r>
          </w:p>
        </w:tc>
      </w:tr>
      <w:tr>
        <w:trPr>
          <w:trHeight w:val="285"/>
        </w:trPr>
        <w:tc>
          <w:tcPr>
            <w:tcW w:w="694" w:type="pct"/>
            <w:vMerge w:val="restar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体检报告</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报告打印</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1）支持一般、职业体检类型报告打印；</w:t>
            </w:r>
          </w:p>
          <w:p>
            <w:pPr>
              <w:pStyle w:val="82"/>
              <w:spacing w:line="520" w:lineRule="exact"/>
              <w:rPr>
                <w:rFonts w:ascii="方正仿宋_GBK" w:eastAsia="方正仿宋_GBK" w:cs="方正仿宋_GBK"/>
                <w:kern w:val="0"/>
                <w:sz w:val="24"/>
                <w:szCs w:val="24"/>
              </w:rPr>
            </w:pPr>
            <w:r>
              <w:rPr>
                <w:rFonts w:ascii="方正仿宋_GBK" w:eastAsia="方正仿宋_GBK" w:cs="方正仿宋_GBK" w:hint="eastAsia"/>
                <w:sz w:val="24"/>
                <w:szCs w:val="24"/>
              </w:rPr>
              <w:t>2）</w:t>
            </w:r>
            <w:r>
              <w:rPr>
                <w:rFonts w:ascii="方正仿宋_GBK" w:eastAsia="方正仿宋_GBK" w:cs="方正仿宋_GBK" w:hint="eastAsia"/>
                <w:kern w:val="0"/>
                <w:sz w:val="24"/>
                <w:szCs w:val="24"/>
              </w:rPr>
              <w:t>支持批量打印个人报告；</w:t>
            </w:r>
          </w:p>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3）支持职业体检告知书打印，告知书和报告份数支持自定义。</w:t>
            </w:r>
          </w:p>
        </w:tc>
      </w:tr>
      <w:tr>
        <w:trPr>
          <w:trHeight w:val="285"/>
        </w:trPr>
        <w:tc>
          <w:tcPr>
            <w:tcW w:w="694" w:type="pct"/>
            <w:vMerge/>
            <w:shd w:val="clear" w:color="FFFFFF" w:fill="auto"/>
            <w:noWrap/>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打印查询</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支持通过姓名、身份证、条码等查询打印、未打印报告人员信息。</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导出报告</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支持报告批量导出为PDF及WORD。</w:t>
            </w:r>
          </w:p>
        </w:tc>
      </w:tr>
      <w:tr>
        <w:trPr>
          <w:trHeight w:val="350"/>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snapToGrid w:val="0"/>
                <w:kern w:val="0"/>
                <w:sz w:val="24"/>
              </w:rPr>
              <w:t>单位报告</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单位报告</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支持导出复查通知书、异常人员名单、人员名单、复查结果汇总、单位报告。</w:t>
            </w:r>
          </w:p>
        </w:tc>
      </w:tr>
      <w:tr>
        <w:trPr>
          <w:trHeight w:val="350"/>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报告编制</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支持2种报表编制模式，简约模式及标准模式，简约模式自动生成，标准模式需编制、审核、签发，灵活选择。</w:t>
            </w:r>
          </w:p>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支持同一个单位，选择部分人提前进行报告编制。</w:t>
            </w:r>
          </w:p>
        </w:tc>
      </w:tr>
      <w:tr>
        <w:trPr>
          <w:trHeight w:val="350"/>
        </w:trPr>
        <w:tc>
          <w:tcPr>
            <w:tcW w:w="694"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指引单回收</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指引单回收</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支持体检完成后指引单回收，并且支持回收时对未做的项目弃检、扫描指引单图片上传。支持取消回收。</w:t>
            </w:r>
          </w:p>
        </w:tc>
      </w:tr>
      <w:tr>
        <w:trPr>
          <w:trHeight w:val="350"/>
        </w:trPr>
        <w:tc>
          <w:tcPr>
            <w:tcW w:w="694"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早餐发放</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早餐发放</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支持早餐发放线上记录，自动生成发放记录明细表，方便后续统计成本。</w:t>
            </w:r>
          </w:p>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支持早餐券短信推送，支持扫码核销。</w:t>
            </w:r>
          </w:p>
        </w:tc>
      </w:tr>
      <w:tr>
        <w:trPr>
          <w:trHeight w:val="350"/>
        </w:trPr>
        <w:tc>
          <w:tcPr>
            <w:tcW w:w="694" w:type="pct"/>
            <w:vMerge w:val="restar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体检进度查询</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进度查询</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支持实时展示体检者的各项目检查进度，通过不同颜色明确区分状态，可直观展示。</w:t>
            </w:r>
          </w:p>
        </w:tc>
      </w:tr>
      <w:tr>
        <w:trPr>
          <w:trHeight w:val="350"/>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检查单打印</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支持选择部分项目打印检查单，可给有需要的体检者提前拿到结果，不用等体检报告。</w:t>
            </w:r>
          </w:p>
        </w:tc>
      </w:tr>
      <w:tr>
        <w:trPr>
          <w:trHeight w:val="28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基础数据</w:t>
            </w: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体检项目</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添加体检小项目名称及相关正常结果显示内容、数字类型参考值、重大异常及危急值配置。</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组合项目</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将多个体检小项目组合到一起使用，可对组合项目配置价格、科室、审核人、正常结果默认词条的操作。</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职业体检标准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支持按职业体检的危害因素体检标准另配置数字类型项目的性别及上下限。</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体检套餐</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支持对体检登记时的常用套餐体检的项目及价格配置。</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体检单位</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支持对用人单位参数进行配置，也可对单位所属体检套餐进行配置。</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常用检查结果</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支持配置体检项目上结果时的异常词条，支持按Excel模板导入常用检查结果词条信息。</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医学建议</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1）支持配置评价时医生建议框的词条配置</w:t>
            </w:r>
          </w:p>
          <w:p>
            <w:pPr>
              <w:widowControl/>
              <w:spacing w:line="520" w:lineRule="exact"/>
              <w:rPr>
                <w:rFonts w:ascii="方正仿宋_GBK" w:eastAsia="方正仿宋_GBK" w:cs="方正仿宋_GBK"/>
                <w:kern w:val="0"/>
                <w:sz w:val="24"/>
              </w:rPr>
            </w:pPr>
            <w:r>
              <w:rPr>
                <w:rFonts w:ascii="方正仿宋_GBK" w:eastAsia="方正仿宋_GBK" w:cs="方正仿宋_GBK" w:hint="eastAsia"/>
                <w:sz w:val="24"/>
              </w:rPr>
              <w:t>2）支持词条配置体检项目后，在评价时</w:t>
            </w:r>
            <w:r>
              <w:rPr>
                <w:rFonts w:ascii="方正仿宋_GBK" w:eastAsia="方正仿宋_GBK" w:cs="方正仿宋_GBK" w:hint="eastAsia"/>
                <w:kern w:val="0"/>
                <w:sz w:val="24"/>
              </w:rPr>
              <w:t>医生建议框自动带出词条，便于主检医生快速评价。</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禁忌证</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支持禁忌症配置词条，便于总检医生评价时选择，达到快速评价。</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职业病</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支持职业病配置词条，便于医生评价时选择，达到快速评价。</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疾病词典</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支持导入时疾病名，便于问诊既往病史选择使用。</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症状词典</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支持导入时症状名，便于问诊症状选择使用。</w:t>
            </w:r>
          </w:p>
        </w:tc>
      </w:tr>
      <w:tr>
        <w:trPr>
          <w:trHeight w:val="946"/>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危害因素</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支持按照GBZ188-2025健康监护技术规范设置不同危害因素在上岗前、在岗期间、离岗时、离岗后必检项目配置。</w:t>
            </w:r>
          </w:p>
        </w:tc>
      </w:tr>
      <w:tr>
        <w:trPr>
          <w:trHeight w:val="29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系统设置</w:t>
            </w: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用户管理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支持对登录体检系统的用户及医生进行新增、编辑、启用/停用、角色分配。</w:t>
            </w:r>
          </w:p>
        </w:tc>
      </w:tr>
      <w:tr>
        <w:trPr>
          <w:trHeight w:val="294"/>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体检机构</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支持对采购方的部分基本信息进行编辑。</w:t>
            </w:r>
          </w:p>
        </w:tc>
      </w:tr>
      <w:tr>
        <w:trPr>
          <w:trHeight w:val="294"/>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体检线路</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支持对采购方的体检线路进行新增、编辑。</w:t>
            </w:r>
          </w:p>
        </w:tc>
      </w:tr>
      <w:tr>
        <w:trPr>
          <w:trHeight w:val="294"/>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体检科室</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支持对采购方的科室进行新增、编辑、添加房间位置。</w:t>
            </w:r>
          </w:p>
        </w:tc>
      </w:tr>
      <w:tr>
        <w:trPr>
          <w:trHeight w:val="294"/>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医生项目</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支持对医生检查项目分组配置，然后分配给对应的医生。</w:t>
            </w:r>
          </w:p>
        </w:tc>
      </w:tr>
      <w:tr>
        <w:trPr>
          <w:trHeight w:val="294"/>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角色管理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支持对登录系统的用户所属角色进行管理。</w:t>
            </w:r>
          </w:p>
        </w:tc>
      </w:tr>
      <w:tr>
        <w:trPr>
          <w:trHeight w:val="285"/>
        </w:trPr>
        <w:tc>
          <w:tcPr>
            <w:tcW w:w="694" w:type="pct"/>
            <w:vMerge w:val="restar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统计分析</w:t>
            </w: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工作量统计</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支持从受理、采样、检查、评价、问诊统计医生的工作量。</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医生工作量</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根据体检项目分类，采样类型分类统计。</w:t>
            </w:r>
          </w:p>
        </w:tc>
      </w:tr>
      <w:tr>
        <w:trPr>
          <w:trHeight w:val="946"/>
        </w:trPr>
        <w:tc>
          <w:tcPr>
            <w:tcW w:w="694" w:type="pct"/>
            <w:vMerge/>
            <w:shd w:val="clear" w:color="FFFFFF" w:fill="auto"/>
            <w:vAlign w:val="center"/>
          </w:tcPr>
          <w:p/>
        </w:tc>
        <w:tc>
          <w:tcPr>
            <w:tcW w:w="803" w:type="pct"/>
            <w:shd w:val="clear" w:color="FFFFFF" w:fill="auto"/>
            <w:vAlign w:val="center"/>
          </w:tcPr>
          <w:p>
            <w:pPr>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科室统计</w:t>
            </w:r>
          </w:p>
        </w:tc>
        <w:tc>
          <w:tcPr>
            <w:tcW w:w="3502" w:type="pct"/>
            <w:shd w:val="clear" w:color="FFFFFF" w:fill="auto"/>
            <w:vAlign w:val="center"/>
          </w:tcPr>
          <w:p>
            <w:pPr>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支持按科室统计各个项目的检查人数情况，可根据体检登记时间段、科室进行查询。</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单位统计</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支持按受检单位进行统计到院体检的人员数量及检查情况。</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收费统计</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根据登记日期、收费日期、体检类型、所在区域、单位名称、姓名、体检编号进行统计及导出。</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收费记录</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支持对收费后产生的收费记录进行统计，可通过登记日期、收费日期进行查询</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单位每日收费报表</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支持按单位进行统计应收款、收款、小计，并支持导出Excel。</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个人每日收费报表</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支持按个人进行统计应收款、收款、小计，并支持导出Excel。</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危害因素统计</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支持按危害因素进行统计，统计人数、疑似职业病人员、禁忌证人员，并支持导出Excel。</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重点危害因素统计</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支持按重点危害因素名录，统计人数、疑似职业病人员、禁忌证人员，并支持导出Excel。</w:t>
            </w:r>
          </w:p>
        </w:tc>
      </w:tr>
      <w:tr>
        <w:trPr>
          <w:trHeight w:val="662"/>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禁忌证人员统计</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统计当年度评定结果为“职业禁忌证”的体检人员信息列表，并支持导出Excel。</w:t>
            </w:r>
          </w:p>
        </w:tc>
      </w:tr>
      <w:tr>
        <w:trPr>
          <w:trHeight w:val="285"/>
        </w:trPr>
        <w:tc>
          <w:tcPr>
            <w:tcW w:w="694" w:type="pct"/>
            <w:vMerge/>
            <w:shd w:val="clear" w:color="FFFFFF" w:fill="auto"/>
            <w:vAlign w:val="center"/>
          </w:tcP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疑似职业病统计</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统计当年度评定结果为“疑似职业病”的体检人员信息列表，并支持导出Excel。</w:t>
            </w:r>
          </w:p>
        </w:tc>
      </w:tr>
      <w:tr>
        <w:trPr>
          <w:trHeight w:val="285"/>
        </w:trPr>
        <w:tc>
          <w:tcPr>
            <w:tcW w:w="694" w:type="pct"/>
            <w:vMerge w:val="restar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系统管理</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项目管理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科室项目信息的增加修改删除等管理；</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角色管理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创建不同的角色和权限，设置用户跨科室操作；</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用户管理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创建科室用户，分配用户登录权限；</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机构设置</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创建机构地基本信息；</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设备设置</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创建仪器接口通道信息；</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仪器字典</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仪器字典的相关基础信息；</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外接系统字典</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匹配外部及职业病上报平台字典内容；</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扩展线设置</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内置多条体检线路扩展；</w:t>
            </w:r>
          </w:p>
        </w:tc>
      </w:tr>
      <w:tr>
        <w:trPr>
          <w:trHeight w:val="285"/>
        </w:trPr>
        <w:tc>
          <w:tcPr>
            <w:tcW w:w="694" w:type="pct"/>
            <w:vMerge w:val="restart"/>
            <w:shd w:val="clear" w:color="FFFFFF" w:fill="auto"/>
            <w:vAlign w:val="center"/>
          </w:tcPr>
          <w:p>
            <w:pPr>
              <w:pStyle w:val="82"/>
              <w:spacing w:line="520" w:lineRule="exact"/>
              <w:jc w:val="left"/>
              <w:rPr>
                <w:rFonts w:ascii="方正仿宋_GBK" w:eastAsia="方正仿宋_GBK" w:cs="方正仿宋_GBK"/>
                <w:sz w:val="24"/>
                <w:szCs w:val="24"/>
              </w:rPr>
            </w:pPr>
            <w:r>
              <w:rPr>
                <w:rFonts w:ascii="方正仿宋_GBK" w:eastAsia="方正仿宋_GBK" w:cs="方正仿宋_GBK" w:hint="eastAsia"/>
                <w:b/>
                <w:sz w:val="24"/>
                <w:szCs w:val="24"/>
              </w:rPr>
              <w:t>▲</w:t>
            </w:r>
            <w:r>
              <w:rPr>
                <w:rFonts w:ascii="方正仿宋_GBK" w:eastAsia="方正仿宋_GBK" w:cs="方正仿宋_GBK" w:hint="eastAsia"/>
                <w:kern w:val="0"/>
                <w:sz w:val="24"/>
                <w:szCs w:val="24"/>
              </w:rPr>
              <w:t>网报系统</w:t>
            </w:r>
          </w:p>
          <w:p>
            <w:pPr>
              <w:widowControl/>
              <w:spacing w:line="520" w:lineRule="exact"/>
              <w:jc w:val="left"/>
              <w:rPr>
                <w:rFonts w:ascii="方正仿宋_GBK" w:eastAsia="方正仿宋_GBK" w:cs="方正仿宋_GBK"/>
                <w:kern w:val="0"/>
                <w:sz w:val="24"/>
              </w:rPr>
            </w:p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字典管理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支持可视化网报数据字典管理</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单位管理</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支持单位一键上报到重庆市职业病防治综合管理信息平台，支持单位信息修改。</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数据中心</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支持个人信息一键上报重庆市职业病防治综合管理信息平台，查询上报状态。</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上报记录</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支持查询上报信息状态及未成功提示。</w:t>
            </w:r>
          </w:p>
        </w:tc>
      </w:tr>
      <w:tr>
        <w:trPr>
          <w:trHeight w:val="285"/>
        </w:trPr>
        <w:tc>
          <w:tcPr>
            <w:tcW w:w="694" w:type="pct"/>
            <w:vMerge w:val="restart"/>
            <w:shd w:val="clear" w:color="FFFFFF" w:fill="auto"/>
            <w:noWrap/>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外出体检管理</w:t>
            </w: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基础数据同步</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支持外检时访问IP，网络正常实时同步所有数据。</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基本体检功能</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kern w:val="0"/>
                <w:sz w:val="24"/>
              </w:rPr>
              <w:t>连接外出体检局域网，等同单位内有基本体检功能。</w:t>
            </w:r>
          </w:p>
        </w:tc>
      </w:tr>
      <w:tr>
        <w:trPr>
          <w:trHeight w:val="285"/>
        </w:trPr>
        <w:tc>
          <w:tcPr>
            <w:tcW w:w="694" w:type="pct"/>
            <w:vMerge/>
            <w:shd w:val="clear" w:color="FFFFFF" w:fill="auto"/>
            <w:vAlign w:val="center"/>
          </w:tcPr>
          <w:p/>
        </w:tc>
        <w:tc>
          <w:tcPr>
            <w:tcW w:w="803" w:type="pct"/>
            <w:shd w:val="clear" w:color="FFFFFF" w:fill="auto"/>
            <w:noWrap/>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外出数据上传</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sz w:val="24"/>
              </w:rPr>
              <w:t>外出体检实现数据与院内一致，实时同步体检流程数据，减少科室人员手动录入数据的情况，简化工作流程，提升准确率，加快体检流程。</w:t>
            </w:r>
          </w:p>
        </w:tc>
      </w:tr>
      <w:tr>
        <w:trPr>
          <w:trHeight w:val="285"/>
        </w:trPr>
        <w:tc>
          <w:tcPr>
            <w:tcW w:w="694"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接口管理</w:t>
            </w:r>
          </w:p>
        </w:tc>
        <w:tc>
          <w:tcPr>
            <w:tcW w:w="803" w:type="pct"/>
            <w:shd w:val="clear" w:color="FFFFFF" w:fill="auto"/>
            <w:vAlign w:val="center"/>
          </w:tcPr>
          <w:p>
            <w:pPr>
              <w:widowControl/>
              <w:spacing w:line="520" w:lineRule="exact"/>
              <w:jc w:val="left"/>
              <w:rPr>
                <w:rFonts w:ascii="方正仿宋_GBK" w:eastAsia="方正仿宋_GBK" w:cs="方正仿宋_GBK"/>
                <w:snapToGrid w:val="0"/>
                <w:kern w:val="0"/>
                <w:sz w:val="24"/>
              </w:rPr>
            </w:pPr>
            <w:r>
              <w:rPr>
                <w:rFonts w:ascii="方正仿宋_GBK" w:eastAsia="方正仿宋_GBK" w:cs="方正仿宋_GBK" w:hint="eastAsia"/>
                <w:snapToGrid w:val="0"/>
                <w:kern w:val="0"/>
                <w:sz w:val="24"/>
              </w:rPr>
              <w:t>仪器设备接口</w:t>
            </w:r>
          </w:p>
        </w:tc>
        <w:tc>
          <w:tcPr>
            <w:tcW w:w="3502" w:type="pct"/>
            <w:shd w:val="clear" w:color="FFFFFF" w:fill="auto"/>
            <w:vAlign w:val="center"/>
          </w:tcPr>
          <w:p>
            <w:pPr>
              <w:widowControl/>
              <w:spacing w:line="520" w:lineRule="exact"/>
              <w:rPr>
                <w:rFonts w:ascii="方正仿宋_GBK" w:eastAsia="方正仿宋_GBK" w:cs="方正仿宋_GBK"/>
                <w:kern w:val="0"/>
                <w:sz w:val="24"/>
              </w:rPr>
            </w:pPr>
            <w:r>
              <w:rPr>
                <w:rFonts w:ascii="方正仿宋_GBK" w:eastAsia="方正仿宋_GBK" w:cs="方正仿宋_GBK" w:hint="eastAsia"/>
                <w:snapToGrid w:val="0"/>
                <w:kern w:val="0"/>
                <w:sz w:val="24"/>
              </w:rPr>
              <w:t>科室各种主要设备实现图片报告传输到体检管理系统。例如电测听接口、肺功能接口</w:t>
            </w:r>
            <w:r>
              <w:rPr>
                <w:rFonts w:ascii="方正仿宋_GBK" w:eastAsia="方正仿宋_GBK" w:cs="方正仿宋_GBK" w:hint="eastAsia"/>
                <w:kern w:val="0"/>
                <w:sz w:val="24"/>
              </w:rPr>
              <w:t>实现结果上传。</w:t>
            </w:r>
          </w:p>
        </w:tc>
      </w:tr>
      <w:tr>
        <w:trPr>
          <w:trHeight w:val="634"/>
        </w:trPr>
        <w:tc>
          <w:tcPr>
            <w:tcW w:w="694"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b/>
                <w:sz w:val="24"/>
              </w:rPr>
              <w:t>▲</w:t>
            </w:r>
            <w:r>
              <w:rPr>
                <w:rFonts w:ascii="方正仿宋_GBK" w:eastAsia="方正仿宋_GBK" w:cs="方正仿宋_GBK" w:hint="eastAsia"/>
                <w:kern w:val="0"/>
                <w:sz w:val="24"/>
              </w:rPr>
              <w:t>数据迁移</w:t>
            </w:r>
          </w:p>
        </w:tc>
        <w:tc>
          <w:tcPr>
            <w:tcW w:w="803"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原有体检系统数据迁移</w:t>
            </w:r>
          </w:p>
        </w:tc>
        <w:tc>
          <w:tcPr>
            <w:tcW w:w="3502" w:type="pct"/>
            <w:shd w:val="clear" w:color="FFFFFF" w:fill="auto"/>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实现原有体检系统体检报告迁移至新系统。</w:t>
            </w:r>
          </w:p>
        </w:tc>
      </w:tr>
      <w:tr>
        <w:trPr>
          <w:trHeight w:val="634"/>
        </w:trPr>
        <w:tc>
          <w:tcPr>
            <w:tcW w:w="694" w:type="pct"/>
            <w:shd w:val="clear" w:color="FFFFFF" w:fill="auto"/>
            <w:vAlign w:val="center"/>
          </w:tcPr>
          <w:p>
            <w:pPr>
              <w:widowControl/>
              <w:spacing w:line="520" w:lineRule="exact"/>
              <w:jc w:val="left"/>
              <w:rPr>
                <w:rFonts w:ascii="方正仿宋_GBK" w:eastAsia="方正仿宋_GBK" w:cs="方正仿宋_GBK"/>
                <w:b/>
                <w:sz w:val="24"/>
              </w:rPr>
            </w:pPr>
            <w:r>
              <w:rPr>
                <w:rFonts w:ascii="方正仿宋_GBK" w:eastAsia="方正仿宋_GBK" w:cs="方正仿宋_GBK" w:hint="eastAsia"/>
                <w:kern w:val="0"/>
                <w:sz w:val="24"/>
              </w:rPr>
              <w:t>国产化适配</w:t>
            </w:r>
          </w:p>
        </w:tc>
        <w:tc>
          <w:tcPr>
            <w:tcW w:w="803"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国产化适配</w:t>
            </w:r>
          </w:p>
        </w:tc>
        <w:tc>
          <w:tcPr>
            <w:tcW w:w="3502" w:type="pct"/>
            <w:shd w:val="clear" w:color="FFFFFF" w:fill="auto"/>
            <w:vAlign w:val="center"/>
          </w:tcPr>
          <w:p>
            <w:pPr>
              <w:spacing w:line="520" w:lineRule="exact"/>
              <w:rPr>
                <w:rFonts w:ascii="方正仿宋_GBK" w:eastAsia="方正仿宋_GBK" w:cs="方正仿宋_GBK"/>
                <w:sz w:val="24"/>
              </w:rPr>
            </w:pPr>
            <w:r>
              <w:rPr>
                <w:rFonts w:ascii="方正仿宋_GBK" w:eastAsia="方正仿宋_GBK" w:cs="方正仿宋_GBK" w:hint="eastAsia"/>
                <w:sz w:val="24"/>
              </w:rPr>
              <w:t>适配国产服务器及终端。</w:t>
            </w:r>
          </w:p>
        </w:tc>
      </w:tr>
      <w:tr>
        <w:trPr>
          <w:trHeight w:val="634"/>
        </w:trPr>
        <w:tc>
          <w:tcPr>
            <w:tcW w:w="694"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数据安全</w:t>
            </w:r>
          </w:p>
        </w:tc>
        <w:tc>
          <w:tcPr>
            <w:tcW w:w="803"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数据安全要求</w:t>
            </w:r>
          </w:p>
        </w:tc>
        <w:tc>
          <w:tcPr>
            <w:tcW w:w="3502" w:type="pct"/>
            <w:shd w:val="clear" w:color="FFFFFF" w:fill="auto"/>
            <w:vAlign w:val="center"/>
          </w:tcPr>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本系统承载受检者身份证、病史、检验报告等敏感健康数据，安全设计须符合等保要求：</w:t>
            </w:r>
          </w:p>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1、身份鉴别：用户账号、口令需采用不可逆哈希算法（禁止使用MD5、SHA1）加密存储；系统管理员、体检医师、运维账号关键角色强制双因素认证；支持账号锁定策略（阈值≤5次）及实名制；会话ID具随机性，超时自动退出。</w:t>
            </w:r>
          </w:p>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2、安全审计：支持对登录、数据增删改查、导出、配置变更等全操作留痕，审计日志包含账号、IP、时间等完整要素，本地留存≥180天且防篡改；支持内置异常行为监测，对批量下载、越权访问等风险实时告警。</w:t>
            </w:r>
          </w:p>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3、数据安全：敏感数据传输强制TLS 1.2+或国密SSL；存储采用国密SM4加密，密钥由独立系统管理并定期轮换（禁止硬编码）；前端展示动态脱敏等技术以确保敏感个人信息、健康重要数据的安全。</w:t>
            </w:r>
          </w:p>
          <w:p>
            <w:pPr>
              <w:widowControl/>
              <w:spacing w:line="520" w:lineRule="exact"/>
              <w:jc w:val="left"/>
              <w:rPr>
                <w:rFonts w:ascii="方正仿宋_GBK" w:eastAsia="方正仿宋_GBK" w:cs="方正仿宋_GBK"/>
                <w:kern w:val="0"/>
                <w:sz w:val="24"/>
              </w:rPr>
            </w:pPr>
            <w:r>
              <w:rPr>
                <w:rFonts w:ascii="方正仿宋_GBK" w:eastAsia="方正仿宋_GBK" w:cs="方正仿宋_GBK" w:hint="eastAsia"/>
                <w:kern w:val="0"/>
                <w:sz w:val="24"/>
              </w:rPr>
              <w:t>4、应用与接口自身安全：原生防范OWASP Top10漏洞，关键接口调用采用SM2签名验签，支持密评改造。</w:t>
            </w:r>
          </w:p>
        </w:tc>
      </w:tr>
    </w:tbl>
    <w:p>
      <w:pPr>
        <w:pStyle w:val="2"/>
        <w:numPr>
          <w:ilvl w:val="0"/>
          <w:numId w:val="1"/>
        </w:numPr>
        <w:spacing w:line="560" w:lineRule="exact"/>
        <w:ind w:left="0" w:firstLineChars="196" w:firstLine="470"/>
        <w:jc w:val="both"/>
        <w:rPr>
          <w:rFonts w:ascii="宋体" w:eastAsia="宋体" w:cs="宋体"/>
          <w:sz w:val="24"/>
          <w:szCs w:val="24"/>
        </w:rPr>
      </w:pPr>
      <w:bookmarkStart w:id="55" w:name="_Toc505867281"/>
      <w:bookmarkStart w:id="56" w:name="_Toc506278877"/>
      <w:bookmarkEnd w:id="15"/>
      <w:bookmarkEnd w:id="16"/>
      <w:bookmarkEnd w:id="17"/>
      <w:bookmarkEnd w:id="18"/>
      <w:bookmarkEnd w:id="19"/>
      <w:r>
        <w:rPr>
          <w:rFonts w:ascii="宋体" w:eastAsia="宋体" w:cs="宋体" w:hint="eastAsia"/>
          <w:sz w:val="24"/>
          <w:szCs w:val="24"/>
        </w:rPr>
        <w:t>售后服务要求</w:t>
      </w:r>
      <w:r>
        <w:rPr>
          <w:rFonts w:ascii="方正仿宋_GBK" w:eastAsia="方正仿宋_GBK" w:cs="方正仿宋_GBK" w:hint="eastAsia"/>
          <w:sz w:val="24"/>
        </w:rPr>
        <w:t>★</w:t>
      </w:r>
    </w:p>
    <w:p>
      <w:pPr>
        <w:numPr>
          <w:ilvl w:val="0"/>
          <w:numId w:val="8"/>
        </w:numPr>
        <w:spacing w:line="520" w:lineRule="exact"/>
        <w:rPr>
          <w:rFonts w:ascii="方正仿宋_GBK" w:eastAsia="方正仿宋_GBK" w:cs="方正仿宋_GBK"/>
          <w:sz w:val="24"/>
        </w:rPr>
      </w:pPr>
      <w:r>
        <w:rPr>
          <w:rFonts w:ascii="方正仿宋_GBK" w:eastAsia="方正仿宋_GBK" w:cs="方正仿宋_GBK" w:hint="eastAsia"/>
          <w:sz w:val="24"/>
        </w:rPr>
        <w:t>质保售后服务期要求：本产品质量保证期与免费维护服务期为验收合格之日起1年。</w:t>
      </w:r>
    </w:p>
    <w:p>
      <w:pPr>
        <w:numPr>
          <w:ilvl w:val="0"/>
          <w:numId w:val="8"/>
        </w:numPr>
        <w:spacing w:line="520" w:lineRule="exact"/>
        <w:rPr>
          <w:rFonts w:ascii="方正仿宋_GBK" w:eastAsia="方正仿宋_GBK" w:cs="方正仿宋_GBK"/>
          <w:sz w:val="24"/>
        </w:rPr>
      </w:pPr>
      <w:r>
        <w:rPr>
          <w:rFonts w:ascii="方正仿宋_GBK" w:eastAsia="方正仿宋_GBK" w:cs="方正仿宋_GBK" w:hint="eastAsia"/>
          <w:sz w:val="24"/>
        </w:rPr>
        <w:t>交货时间：合同签订后15日历天调试安装完成。</w:t>
      </w:r>
    </w:p>
    <w:p>
      <w:pPr>
        <w:spacing w:line="520" w:lineRule="exact"/>
        <w:rPr>
          <w:rFonts w:ascii="方正仿宋_GBK" w:eastAsia="方正仿宋_GBK" w:cs="方正仿宋_GBK"/>
          <w:sz w:val="24"/>
        </w:rPr>
      </w:pPr>
      <w:r>
        <w:rPr>
          <w:rFonts w:ascii="方正仿宋_GBK" w:eastAsia="方正仿宋_GBK" w:cs="方正仿宋_GBK" w:hint="eastAsia"/>
          <w:sz w:val="24"/>
        </w:rPr>
        <w:t>（三）服务地点：重庆国际旅行卫生保健中心指定地点。</w:t>
      </w:r>
    </w:p>
    <w:p>
      <w:pPr>
        <w:spacing w:line="520" w:lineRule="exact"/>
        <w:rPr>
          <w:rFonts w:ascii="方正仿宋_GBK" w:eastAsia="方正仿宋_GBK" w:cs="方正仿宋_GBK"/>
          <w:sz w:val="24"/>
        </w:rPr>
      </w:pPr>
      <w:r>
        <w:rPr>
          <w:rFonts w:ascii="方正仿宋_GBK" w:eastAsia="方正仿宋_GBK" w:cs="方正仿宋_GBK" w:hint="eastAsia"/>
          <w:sz w:val="24"/>
        </w:rPr>
        <w:t>（四）验收方式：</w:t>
      </w:r>
    </w:p>
    <w:p>
      <w:pPr>
        <w:spacing w:line="520" w:lineRule="exact"/>
        <w:rPr>
          <w:rFonts w:ascii="方正仿宋_GBK" w:eastAsia="方正仿宋_GBK" w:cs="方正仿宋_GBK"/>
          <w:sz w:val="24"/>
        </w:rPr>
      </w:pPr>
      <w:r>
        <w:rPr>
          <w:rFonts w:ascii="方正仿宋_GBK" w:eastAsia="方正仿宋_GBK" w:cs="方正仿宋_GBK" w:hint="eastAsia"/>
          <w:sz w:val="24"/>
        </w:rPr>
        <w:t>1.满足以下条件时，视同验收合格：</w:t>
      </w:r>
    </w:p>
    <w:p>
      <w:pPr>
        <w:spacing w:line="520" w:lineRule="exact"/>
        <w:rPr>
          <w:rFonts w:ascii="方正仿宋_GBK" w:eastAsia="方正仿宋_GBK" w:cs="方正仿宋_GBK"/>
          <w:sz w:val="24"/>
        </w:rPr>
      </w:pPr>
      <w:r>
        <w:rPr>
          <w:rFonts w:ascii="方正仿宋_GBK" w:eastAsia="方正仿宋_GBK" w:cs="方正仿宋_GBK" w:hint="eastAsia"/>
          <w:sz w:val="24"/>
        </w:rPr>
        <w:t>（1）技术参数与响应文件及承诺一致，在运行使用一个月以内质量指标达到或超过规定的标准。</w:t>
      </w:r>
    </w:p>
    <w:p>
      <w:pPr>
        <w:spacing w:line="520" w:lineRule="exact"/>
        <w:rPr>
          <w:rFonts w:ascii="方正仿宋_GBK" w:eastAsia="方正仿宋_GBK" w:cs="方正仿宋_GBK"/>
          <w:sz w:val="24"/>
        </w:rPr>
      </w:pPr>
      <w:r>
        <w:rPr>
          <w:rFonts w:ascii="方正仿宋_GBK" w:eastAsia="方正仿宋_GBK" w:cs="方正仿宋_GBK" w:hint="eastAsia"/>
          <w:sz w:val="24"/>
        </w:rPr>
        <w:t>（2）配合采购方渗透测试及漏洞扫描等安全工作，并对发现的漏洞进行闭环修复，确保系统上线前无中高风险漏洞。</w:t>
      </w:r>
    </w:p>
    <w:p>
      <w:pPr>
        <w:spacing w:line="520" w:lineRule="exact"/>
        <w:rPr>
          <w:rFonts w:ascii="方正仿宋_GBK" w:eastAsia="方正仿宋_GBK" w:cs="方正仿宋_GBK"/>
          <w:sz w:val="24"/>
        </w:rPr>
      </w:pPr>
      <w:r>
        <w:rPr>
          <w:rFonts w:ascii="方正仿宋_GBK" w:eastAsia="方正仿宋_GBK" w:cs="方正仿宋_GBK" w:hint="eastAsia"/>
          <w:sz w:val="24"/>
        </w:rPr>
        <w:t>（3）在运行使用一个月以内所暴露的问题已获得采购人确认并已解决。</w:t>
        <w:tab/>
      </w:r>
    </w:p>
    <w:p>
      <w:pPr>
        <w:spacing w:line="520" w:lineRule="exact"/>
        <w:rPr>
          <w:rFonts w:ascii="方正仿宋_GBK" w:eastAsia="方正仿宋_GBK" w:cs="方正仿宋_GBK"/>
          <w:sz w:val="24"/>
        </w:rPr>
      </w:pPr>
      <w:r>
        <w:rPr>
          <w:rFonts w:ascii="方正仿宋_GBK" w:eastAsia="方正仿宋_GBK" w:cs="方正仿宋_GBK" w:hint="eastAsia"/>
          <w:sz w:val="24"/>
        </w:rPr>
        <w:t>（4）系统上线运行后1个月，无使用异常情况发生。</w:t>
      </w:r>
    </w:p>
    <w:p>
      <w:pPr>
        <w:spacing w:line="520" w:lineRule="exact"/>
        <w:rPr>
          <w:rFonts w:ascii="方正仿宋_GBK" w:eastAsia="方正仿宋_GBK" w:cs="方正仿宋_GBK"/>
          <w:sz w:val="24"/>
        </w:rPr>
      </w:pPr>
      <w:r>
        <w:rPr>
          <w:rFonts w:ascii="方正仿宋_GBK" w:eastAsia="方正仿宋_GBK" w:cs="方正仿宋_GBK" w:hint="eastAsia"/>
          <w:sz w:val="24"/>
        </w:rPr>
        <w:t>（5）移交一套技术设计文档、测试与运维文档、管理与合规文档。</w:t>
      </w:r>
    </w:p>
    <w:p>
      <w:pPr>
        <w:spacing w:line="520" w:lineRule="exact"/>
        <w:rPr>
          <w:rFonts w:ascii="方正仿宋_GBK" w:eastAsia="方正仿宋_GBK" w:cs="方正仿宋_GBK"/>
          <w:sz w:val="24"/>
        </w:rPr>
      </w:pPr>
      <w:r>
        <w:rPr>
          <w:rFonts w:ascii="方正仿宋_GBK" w:eastAsia="方正仿宋_GBK" w:cs="方正仿宋_GBK" w:hint="eastAsia"/>
          <w:sz w:val="24"/>
        </w:rPr>
        <w:t>（6）各功能验证合格后完成验收，双方签署最终验收文件。</w:t>
      </w:r>
    </w:p>
    <w:p>
      <w:pPr>
        <w:spacing w:line="520" w:lineRule="exact"/>
        <w:rPr>
          <w:rFonts w:ascii="方正仿宋_GBK" w:eastAsia="方正仿宋_GBK" w:cs="方正仿宋_GBK"/>
          <w:sz w:val="24"/>
        </w:rPr>
      </w:pPr>
      <w:r>
        <w:rPr>
          <w:rFonts w:ascii="方正仿宋_GBK" w:eastAsia="方正仿宋_GBK" w:cs="方正仿宋_GBK" w:hint="eastAsia"/>
          <w:sz w:val="24"/>
        </w:rPr>
        <w:t>2.供应商提供的服务未达到比选文件规定要求，且对采购人造成损失的，由供应商承担一切责任，并赔偿所造成的损失。</w:t>
      </w:r>
    </w:p>
    <w:p>
      <w:pPr>
        <w:spacing w:line="520" w:lineRule="exact"/>
        <w:rPr>
          <w:rFonts w:ascii="方正仿宋_GBK" w:eastAsia="方正仿宋_GBK" w:cs="方正仿宋_GBK"/>
          <w:sz w:val="24"/>
        </w:rPr>
      </w:pPr>
      <w:r>
        <w:rPr>
          <w:rFonts w:ascii="方正仿宋_GBK" w:eastAsia="方正仿宋_GBK" w:cs="方正仿宋_GBK" w:hint="eastAsia"/>
          <w:sz w:val="24"/>
        </w:rPr>
        <w:t>（五）服务方式及标准：</w:t>
      </w:r>
    </w:p>
    <w:p>
      <w:pPr>
        <w:spacing w:line="520" w:lineRule="exact"/>
        <w:rPr>
          <w:rFonts w:ascii="方正仿宋_GBK" w:eastAsia="方正仿宋_GBK" w:cs="方正仿宋_GBK"/>
          <w:sz w:val="24"/>
        </w:rPr>
      </w:pPr>
      <w:r>
        <w:rPr>
          <w:rFonts w:ascii="方正仿宋_GBK" w:eastAsia="方正仿宋_GBK" w:cs="方正仿宋_GBK" w:hint="eastAsia"/>
          <w:sz w:val="24"/>
        </w:rPr>
        <w:t>供应商在合同服务期内应当为采购方提供以下技术支持服务：</w:t>
      </w:r>
    </w:p>
    <w:p>
      <w:pPr>
        <w:spacing w:line="520" w:lineRule="exact"/>
        <w:rPr>
          <w:rFonts w:ascii="方正仿宋_GBK" w:eastAsia="方正仿宋_GBK" w:cs="方正仿宋_GBK"/>
          <w:sz w:val="24"/>
        </w:rPr>
      </w:pPr>
      <w:r>
        <w:rPr>
          <w:rFonts w:ascii="方正仿宋_GBK" w:eastAsia="方正仿宋_GBK" w:cs="方正仿宋_GBK" w:hint="eastAsia"/>
          <w:sz w:val="24"/>
        </w:rPr>
        <w:t>1、系统日常运维</w:t>
      </w:r>
    </w:p>
    <w:p>
      <w:pPr>
        <w:spacing w:line="520" w:lineRule="exact"/>
        <w:rPr>
          <w:rFonts w:ascii="方正仿宋_GBK" w:eastAsia="方正仿宋_GBK" w:cs="方正仿宋_GBK"/>
          <w:sz w:val="24"/>
        </w:rPr>
      </w:pPr>
      <w:r>
        <w:rPr>
          <w:rFonts w:ascii="方正仿宋_GBK" w:eastAsia="方正仿宋_GBK" w:cs="方正仿宋_GBK" w:hint="eastAsia"/>
          <w:sz w:val="24"/>
        </w:rPr>
        <w:t>（1）远程服务</w:t>
      </w:r>
    </w:p>
    <w:p>
      <w:pPr>
        <w:spacing w:line="520" w:lineRule="exact"/>
        <w:rPr>
          <w:rFonts w:ascii="方正仿宋_GBK" w:eastAsia="方正仿宋_GBK" w:cs="方正仿宋_GBK"/>
          <w:sz w:val="24"/>
        </w:rPr>
      </w:pPr>
      <w:r>
        <w:rPr>
          <w:rFonts w:ascii="方正仿宋_GBK" w:eastAsia="方正仿宋_GBK" w:cs="方正仿宋_GBK" w:hint="eastAsia"/>
          <w:sz w:val="24"/>
        </w:rPr>
        <w:t>运维期内提供7×24小时技术援助电话，在接到采购方的报障电话后，15分钟内解答甲方在使用中遇到的问题，及时为甲方提出解决问题的建议。</w:t>
      </w:r>
    </w:p>
    <w:p>
      <w:pPr>
        <w:spacing w:line="520" w:lineRule="exact"/>
        <w:rPr>
          <w:rFonts w:ascii="方正仿宋_GBK" w:eastAsia="方正仿宋_GBK" w:cs="方正仿宋_GBK"/>
          <w:sz w:val="24"/>
        </w:rPr>
      </w:pPr>
      <w:r>
        <w:rPr>
          <w:rFonts w:ascii="方正仿宋_GBK" w:eastAsia="方正仿宋_GBK" w:cs="方正仿宋_GBK" w:hint="eastAsia"/>
          <w:sz w:val="24"/>
        </w:rPr>
        <w:t>（2）现场服务</w:t>
      </w:r>
    </w:p>
    <w:p>
      <w:pPr>
        <w:spacing w:line="520" w:lineRule="exact"/>
        <w:rPr>
          <w:rFonts w:ascii="方正仿宋_GBK" w:eastAsia="方正仿宋_GBK" w:cs="方正仿宋_GBK"/>
          <w:sz w:val="24"/>
        </w:rPr>
      </w:pPr>
      <w:r>
        <w:rPr>
          <w:rFonts w:ascii="方正仿宋_GBK" w:eastAsia="方正仿宋_GBK" w:cs="方正仿宋_GBK" w:hint="eastAsia"/>
          <w:sz w:val="24"/>
        </w:rPr>
        <w:t>运维期内根据采购方反馈系统问题，需要现场进行服务指导的内容，在接收反馈后4小时内到达采购方指定地点进行服务。</w:t>
      </w:r>
    </w:p>
    <w:p>
      <w:pPr>
        <w:spacing w:line="520" w:lineRule="exact"/>
        <w:rPr>
          <w:rFonts w:ascii="方正仿宋_GBK" w:eastAsia="方正仿宋_GBK" w:cs="方正仿宋_GBK"/>
          <w:sz w:val="24"/>
        </w:rPr>
      </w:pPr>
      <w:r>
        <w:rPr>
          <w:rFonts w:ascii="方正仿宋_GBK" w:eastAsia="方正仿宋_GBK" w:cs="方正仿宋_GBK" w:hint="eastAsia"/>
          <w:sz w:val="24"/>
        </w:rPr>
        <w:t>2、使用培训</w:t>
      </w:r>
    </w:p>
    <w:p>
      <w:pPr>
        <w:spacing w:line="520" w:lineRule="exact"/>
        <w:rPr>
          <w:rFonts w:ascii="方正仿宋_GBK" w:eastAsia="方正仿宋_GBK" w:cs="方正仿宋_GBK"/>
          <w:sz w:val="24"/>
        </w:rPr>
      </w:pPr>
      <w:r>
        <w:rPr>
          <w:rFonts w:ascii="方正仿宋_GBK" w:eastAsia="方正仿宋_GBK" w:cs="方正仿宋_GBK" w:hint="eastAsia"/>
          <w:sz w:val="24"/>
        </w:rPr>
        <w:t>使用系统前至少开展1次现场使用培训，帮助采购方及操作人员熟悉系统操作和功能。</w:t>
      </w:r>
    </w:p>
    <w:p>
      <w:pPr>
        <w:spacing w:line="520" w:lineRule="exact"/>
        <w:rPr>
          <w:rFonts w:ascii="方正仿宋_GBK" w:eastAsia="方正仿宋_GBK" w:cs="方正仿宋_GBK"/>
          <w:sz w:val="24"/>
        </w:rPr>
      </w:pPr>
      <w:r>
        <w:rPr>
          <w:rFonts w:ascii="方正仿宋_GBK" w:eastAsia="方正仿宋_GBK" w:cs="方正仿宋_GBK" w:hint="eastAsia"/>
          <w:sz w:val="24"/>
        </w:rPr>
        <w:t>3、咨询服务</w:t>
      </w:r>
    </w:p>
    <w:p>
      <w:pPr>
        <w:spacing w:line="520" w:lineRule="exact"/>
        <w:rPr>
          <w:rFonts w:ascii="方正仿宋_GBK" w:eastAsia="方正仿宋_GBK" w:cs="方正仿宋_GBK"/>
          <w:sz w:val="24"/>
        </w:rPr>
      </w:pPr>
      <w:r>
        <w:rPr>
          <w:rFonts w:ascii="方正仿宋_GBK" w:eastAsia="方正仿宋_GBK" w:cs="方正仿宋_GBK" w:hint="eastAsia"/>
          <w:sz w:val="24"/>
        </w:rPr>
        <w:t>提供使用期间系统软件应用和维护技术咨询服务。</w:t>
      </w:r>
    </w:p>
    <w:p>
      <w:pPr>
        <w:spacing w:line="520" w:lineRule="exact"/>
        <w:rPr>
          <w:rFonts w:ascii="方正仿宋_GBK" w:eastAsia="方正仿宋_GBK" w:cs="方正仿宋_GBK"/>
          <w:sz w:val="24"/>
        </w:rPr>
      </w:pPr>
      <w:r>
        <w:rPr>
          <w:rFonts w:ascii="方正仿宋_GBK" w:eastAsia="方正仿宋_GBK" w:cs="方正仿宋_GBK" w:hint="eastAsia"/>
          <w:sz w:val="24"/>
        </w:rPr>
        <w:t>4、系统配套设备管理及系统安全运行管理</w:t>
      </w:r>
    </w:p>
    <w:p>
      <w:pPr>
        <w:spacing w:line="520" w:lineRule="exact"/>
        <w:rPr>
          <w:rFonts w:ascii="方正仿宋_GBK" w:eastAsia="方正仿宋_GBK" w:cs="方正仿宋_GBK"/>
          <w:sz w:val="24"/>
        </w:rPr>
      </w:pPr>
      <w:r>
        <w:rPr>
          <w:rFonts w:ascii="方正仿宋_GBK" w:eastAsia="方正仿宋_GBK" w:cs="方正仿宋_GBK" w:hint="eastAsia"/>
          <w:sz w:val="24"/>
        </w:rPr>
        <w:t>（1）配合网络及硬软件升级、安全漏洞扫描和修复，避免系统免受潜在的安全威胁。</w:t>
      </w:r>
    </w:p>
    <w:p>
      <w:pPr>
        <w:spacing w:line="520" w:lineRule="exact"/>
        <w:rPr>
          <w:rFonts w:ascii="方正仿宋_GBK" w:eastAsia="方正仿宋_GBK" w:cs="方正仿宋_GBK"/>
          <w:sz w:val="24"/>
        </w:rPr>
      </w:pPr>
      <w:r>
        <w:rPr>
          <w:rFonts w:ascii="方正仿宋_GBK" w:eastAsia="方正仿宋_GBK" w:cs="方正仿宋_GBK" w:hint="eastAsia"/>
          <w:sz w:val="24"/>
        </w:rPr>
        <w:t>（2）供应商应提供备品备件，保证用户应急所需，使用的维修零配件必须为原厂配件，未经用户同意不得使用非原厂配件。</w:t>
      </w:r>
    </w:p>
    <w:p>
      <w:pPr>
        <w:spacing w:line="520" w:lineRule="exact"/>
        <w:rPr>
          <w:rFonts w:ascii="方正仿宋_GBK" w:eastAsia="方正仿宋_GBK" w:cs="方正仿宋_GBK"/>
          <w:sz w:val="24"/>
        </w:rPr>
      </w:pPr>
      <w:r>
        <w:rPr>
          <w:rFonts w:ascii="方正仿宋_GBK" w:eastAsia="方正仿宋_GBK" w:cs="方正仿宋_GBK" w:hint="eastAsia"/>
          <w:sz w:val="24"/>
        </w:rPr>
        <w:t>（3）供应商需配合渗透测试及漏洞扫描等安全工作，并对发现的漏洞进行闭环修复，确保系统安全。</w:t>
      </w:r>
    </w:p>
    <w:p>
      <w:pPr>
        <w:spacing w:line="520" w:lineRule="exact"/>
        <w:rPr>
          <w:rFonts w:ascii="方正仿宋_GBK" w:eastAsia="方正仿宋_GBK" w:cs="方正仿宋_GBK"/>
          <w:sz w:val="24"/>
        </w:rPr>
      </w:pPr>
      <w:r>
        <w:rPr>
          <w:rFonts w:ascii="方正仿宋_GBK" w:eastAsia="方正仿宋_GBK" w:cs="方正仿宋_GBK" w:hint="eastAsia"/>
          <w:sz w:val="24"/>
        </w:rPr>
        <w:t>（4）供应商须全周期配合通过国家网络安全等级保护测评及商用密码应用安全性评估，并承担测评所需的配套整改实施工作。</w:t>
      </w:r>
    </w:p>
    <w:p>
      <w:pPr>
        <w:spacing w:line="520" w:lineRule="exact"/>
        <w:rPr>
          <w:rFonts w:ascii="方正仿宋_GBK" w:eastAsia="方正仿宋_GBK" w:cs="方正仿宋_GBK"/>
          <w:sz w:val="24"/>
        </w:rPr>
      </w:pPr>
      <w:r>
        <w:rPr>
          <w:rFonts w:ascii="方正仿宋_GBK" w:eastAsia="方正仿宋_GBK" w:cs="方正仿宋_GBK" w:hint="eastAsia"/>
          <w:sz w:val="24"/>
        </w:rPr>
        <w:t>（六）技术升级★</w:t>
      </w:r>
    </w:p>
    <w:p>
      <w:pPr>
        <w:spacing w:line="520" w:lineRule="exact"/>
        <w:rPr>
          <w:rFonts w:ascii="方正仿宋_GBK" w:eastAsia="方正仿宋_GBK" w:cs="方正仿宋_GBK"/>
          <w:sz w:val="24"/>
        </w:rPr>
      </w:pPr>
      <w:r>
        <w:rPr>
          <w:rFonts w:ascii="方正仿宋_GBK" w:eastAsia="方正仿宋_GBK" w:cs="方正仿宋_GBK" w:hint="eastAsia"/>
          <w:sz w:val="24"/>
        </w:rPr>
        <w:t>1、在质保期内，如果成交供应商和制造商的产品技术升级，供应商应及时通知采购人。</w:t>
      </w:r>
    </w:p>
    <w:p>
      <w:pPr>
        <w:spacing w:line="520" w:lineRule="exact"/>
        <w:rPr>
          <w:rFonts w:ascii="方正仿宋_GBK" w:eastAsia="方正仿宋_GBK" w:cs="方正仿宋_GBK"/>
          <w:sz w:val="24"/>
        </w:rPr>
      </w:pPr>
      <w:r>
        <w:rPr>
          <w:rFonts w:ascii="方正仿宋_GBK" w:eastAsia="方正仿宋_GBK" w:cs="方正仿宋_GBK" w:hint="eastAsia"/>
          <w:sz w:val="24"/>
        </w:rPr>
        <w:t>2、如采购人有相应要求，成交供应商和制造商应对采购人购买的产品进行升级服务。</w:t>
      </w:r>
    </w:p>
    <w:p>
      <w:pPr>
        <w:spacing w:line="520" w:lineRule="exact"/>
        <w:rPr>
          <w:rFonts w:ascii="方正仿宋_GBK" w:eastAsia="方正仿宋_GBK" w:cs="方正仿宋_GBK"/>
          <w:sz w:val="24"/>
        </w:rPr>
      </w:pPr>
      <w:r>
        <w:rPr>
          <w:rFonts w:ascii="方正仿宋_GBK" w:eastAsia="方正仿宋_GBK" w:cs="方正仿宋_GBK" w:hint="eastAsia"/>
          <w:sz w:val="24"/>
        </w:rPr>
        <w:t>3、因国家标准、文件等因素引起的系统改造或升级需求，成交供应商应提供免费服务。</w:t>
      </w:r>
    </w:p>
    <w:p>
      <w:pPr>
        <w:spacing w:line="520" w:lineRule="exact"/>
        <w:rPr>
          <w:rFonts w:ascii="方正仿宋_GBK" w:eastAsia="方正仿宋_GBK" w:cs="方正仿宋_GBK"/>
          <w:sz w:val="24"/>
        </w:rPr>
      </w:pPr>
      <w:r>
        <w:rPr>
          <w:rFonts w:ascii="方正仿宋_GBK" w:eastAsia="方正仿宋_GBK" w:cs="方正仿宋_GBK" w:hint="eastAsia"/>
          <w:sz w:val="24"/>
        </w:rPr>
        <w:t>（七）质保期外服务要求</w:t>
      </w:r>
    </w:p>
    <w:p>
      <w:pPr>
        <w:spacing w:line="520" w:lineRule="exact"/>
        <w:rPr>
          <w:rFonts w:ascii="方正仿宋_GBK" w:eastAsia="方正仿宋_GBK" w:cs="方正仿宋_GBK"/>
          <w:sz w:val="24"/>
        </w:rPr>
      </w:pPr>
      <w:r>
        <w:rPr>
          <w:rFonts w:ascii="方正仿宋_GBK" w:eastAsia="方正仿宋_GBK" w:cs="方正仿宋_GBK" w:hint="eastAsia"/>
          <w:sz w:val="24"/>
        </w:rPr>
        <w:t>1、质量保证期过后，成交供应商应同样提供免费电话咨询服务，并应承诺提供免费上门维护服务。</w:t>
      </w:r>
    </w:p>
    <w:p>
      <w:pPr>
        <w:spacing w:line="520" w:lineRule="exact"/>
        <w:rPr>
          <w:rFonts w:ascii="方正仿宋_GBK" w:eastAsia="方正仿宋_GBK" w:cs="方正仿宋_GBK"/>
          <w:sz w:val="24"/>
        </w:rPr>
      </w:pPr>
      <w:r>
        <w:rPr>
          <w:rFonts w:ascii="方正仿宋_GBK" w:eastAsia="方正仿宋_GBK" w:cs="方正仿宋_GBK" w:hint="eastAsia"/>
          <w:sz w:val="24"/>
        </w:rPr>
        <w:t>2、质量保证期过后，采购人需要继续由原成交供应商提供售后服务的，成交供应商应以优惠价格提供售后服务。</w:t>
      </w:r>
    </w:p>
    <w:p>
      <w:pPr>
        <w:pStyle w:val="1"/>
        <w:tabs>
          <w:tab w:val="left" w:pos="432"/>
        </w:tabs>
        <w:spacing w:line="560" w:lineRule="exact"/>
        <w:jc w:val="both"/>
        <w:rPr>
          <w:rFonts w:ascii="宋体" w:eastAsia="宋体" w:cs="宋体"/>
          <w:b/>
          <w:sz w:val="24"/>
          <w:szCs w:val="24"/>
        </w:rPr>
      </w:pPr>
      <w:r>
        <w:rPr>
          <w:rFonts w:ascii="宋体" w:eastAsia="宋体" w:cs="宋体" w:hint="eastAsia"/>
          <w:b/>
          <w:sz w:val="24"/>
          <w:szCs w:val="24"/>
        </w:rPr>
        <w:t>三、付款要求</w:t>
      </w:r>
    </w:p>
    <w:p>
      <w:pPr>
        <w:spacing w:line="520" w:lineRule="exact"/>
        <w:rPr>
          <w:rFonts w:ascii="方正仿宋_GBK" w:eastAsia="方正仿宋_GBK" w:cs="方正仿宋_GBK"/>
          <w:sz w:val="24"/>
        </w:rPr>
      </w:pPr>
      <w:r>
        <w:rPr>
          <w:rFonts w:ascii="方正仿宋_GBK" w:eastAsia="方正仿宋_GBK" w:cs="方正仿宋_GBK" w:hint="eastAsia"/>
          <w:sz w:val="24"/>
        </w:rPr>
        <w:t>经采购人验收合格后，成交供应商提供增值税发票、付款申请书、验收报告，采购人向成交供应商支付合同总金额的100%。</w:t>
      </w:r>
    </w:p>
    <w:p/>
    <w:p>
      <w:pPr>
        <w:rPr>
          <w:rFonts w:ascii="宋体" w:cs="宋体"/>
          <w:b/>
          <w:kern w:val="0"/>
          <w:sz w:val="24"/>
        </w:rPr>
      </w:pPr>
      <w:r>
        <w:rPr>
          <w:rFonts w:ascii="宋体" w:cs="宋体" w:hint="eastAsia"/>
          <w:b/>
          <w:kern w:val="0"/>
          <w:sz w:val="24"/>
        </w:rPr>
        <w:t>四、报价要求</w:t>
      </w:r>
    </w:p>
    <w:p>
      <w:pPr>
        <w:spacing w:line="520" w:lineRule="exact"/>
        <w:rPr>
          <w:rFonts w:ascii="方正仿宋_GBK" w:eastAsia="方正仿宋_GBK" w:cs="方正仿宋_GBK"/>
          <w:sz w:val="24"/>
        </w:rPr>
      </w:pPr>
      <w:r>
        <w:rPr>
          <w:rFonts w:ascii="方正仿宋_GBK" w:eastAsia="方正仿宋_GBK" w:cs="方正仿宋_GBK" w:hint="eastAsia"/>
          <w:sz w:val="24"/>
        </w:rPr>
        <w:t xml:space="preserve">1．供应商对报价必须是唯一的，采购人不接受有任何选择的报价。 </w:t>
      </w:r>
    </w:p>
    <w:p>
      <w:pPr>
        <w:spacing w:line="520" w:lineRule="exact"/>
        <w:rPr>
          <w:rFonts w:ascii="方正仿宋_GBK" w:eastAsia="方正仿宋_GBK" w:cs="方正仿宋_GBK"/>
          <w:sz w:val="24"/>
        </w:rPr>
      </w:pPr>
      <w:r>
        <w:rPr>
          <w:rFonts w:ascii="方正仿宋_GBK" w:eastAsia="方正仿宋_GBK" w:cs="方正仿宋_GBK" w:hint="eastAsia"/>
          <w:sz w:val="24"/>
        </w:rPr>
        <w:t>2．所有报价均应已包含国家规定的所有税费。</w:t>
      </w:r>
    </w:p>
    <w:p>
      <w:pPr>
        <w:spacing w:line="520" w:lineRule="exact"/>
        <w:rPr>
          <w:rFonts w:ascii="方正仿宋_GBK" w:eastAsia="方正仿宋_GBK" w:cs="方正仿宋_GBK"/>
          <w:sz w:val="24"/>
        </w:rPr>
      </w:pPr>
      <w:r>
        <w:rPr>
          <w:rFonts w:ascii="方正仿宋_GBK" w:eastAsia="方正仿宋_GBK" w:cs="方正仿宋_GBK" w:hint="eastAsia"/>
          <w:sz w:val="24"/>
        </w:rPr>
        <w:t>3．报价函、报价一览表、详细报价清单中的投标总价应一致。</w:t>
      </w:r>
    </w:p>
    <w:p>
      <w:pPr>
        <w:spacing w:line="520" w:lineRule="exact"/>
        <w:rPr>
          <w:rFonts w:ascii="方正仿宋_GBK" w:eastAsia="方正仿宋_GBK" w:cs="方正仿宋_GBK"/>
          <w:sz w:val="24"/>
        </w:rPr>
      </w:pPr>
      <w:r>
        <w:rPr>
          <w:rFonts w:ascii="方正仿宋_GBK" w:eastAsia="方正仿宋_GBK" w:cs="方正仿宋_GBK" w:hint="eastAsia"/>
          <w:sz w:val="24"/>
        </w:rPr>
        <w:t>4．投标总报价应等于“详细报价清单”的全部费用之和。投标报价为人民币报价，报价包括所需物品的产品价、安装调试费、人工费（含二次加工费等）、差旅费、保险费、税费等货到采购人指定地点的所有费用。供应商漏报或不报，采购人将视为该漏报或不报部分的费用已包括在已报的分项报价中而不予支付。中标价格一经确认，中标人不得向采购人追加任何费用。</w:t>
      </w:r>
    </w:p>
    <w:p>
      <w:pPr>
        <w:spacing w:line="520" w:lineRule="exact"/>
        <w:rPr>
          <w:rFonts w:ascii="方正仿宋_GBK" w:eastAsia="方正仿宋_GBK" w:cs="方正仿宋_GBK"/>
          <w:sz w:val="24"/>
        </w:rPr>
      </w:pPr>
    </w:p>
    <w:p>
      <w:pPr>
        <w:rPr>
          <w:rFonts w:ascii="宋体" w:eastAsia="宋体"/>
          <w:b/>
          <w:sz w:val="44"/>
          <w:szCs w:val="44"/>
        </w:rPr>
      </w:pPr>
    </w:p>
    <w:p>
      <w:pPr>
        <w:rPr>
          <w:rFonts w:ascii="宋体" w:eastAsia="宋体"/>
          <w:b/>
          <w:sz w:val="44"/>
          <w:szCs w:val="44"/>
        </w:rPr>
      </w:pPr>
    </w:p>
    <w:p>
      <w:pPr>
        <w:rPr>
          <w:rFonts w:ascii="宋体" w:eastAsia="宋体"/>
          <w:b/>
          <w:sz w:val="44"/>
          <w:szCs w:val="44"/>
        </w:rPr>
      </w:pPr>
    </w:p>
    <w:p>
      <w:pPr>
        <w:rPr>
          <w:rFonts w:ascii="宋体" w:eastAsia="宋体"/>
          <w:b/>
          <w:sz w:val="44"/>
          <w:szCs w:val="44"/>
        </w:rPr>
      </w:pPr>
    </w:p>
    <w:p>
      <w:pPr>
        <w:rPr>
          <w:rFonts w:ascii="宋体" w:eastAsia="宋体"/>
          <w:b/>
          <w:sz w:val="44"/>
          <w:szCs w:val="44"/>
        </w:rPr>
      </w:pPr>
    </w:p>
    <w:p>
      <w:pPr>
        <w:pStyle w:val="1"/>
        <w:tabs>
          <w:tab w:val="left" w:pos="432"/>
        </w:tabs>
        <w:spacing w:line="560" w:lineRule="exact"/>
        <w:ind w:leftChars="519" w:left="1090" w:firstLineChars="395" w:firstLine="1738"/>
        <w:jc w:val="both"/>
        <w:rPr>
          <w:rFonts w:ascii="宋体" w:eastAsia="宋体"/>
          <w:b/>
          <w:sz w:val="44"/>
          <w:szCs w:val="44"/>
        </w:rPr>
      </w:pPr>
      <w:r>
        <w:rPr>
          <w:rFonts w:ascii="宋体" w:eastAsia="宋体" w:hint="eastAsia"/>
          <w:b/>
          <w:sz w:val="44"/>
          <w:szCs w:val="44"/>
        </w:rPr>
        <w:t>第六章  响应文件格式</w:t>
      </w:r>
      <w:bookmarkEnd w:id="55"/>
      <w:bookmarkEnd w:id="56"/>
    </w:p>
    <w:p>
      <w:pPr>
        <w:pStyle w:val="53"/>
        <w:widowControl w:val="0"/>
        <w:spacing w:line="560" w:lineRule="exact"/>
        <w:rPr>
          <w:rFonts w:ascii="黑体" w:eastAsia="黑体"/>
          <w:bCs/>
          <w:kern w:val="2"/>
          <w:sz w:val="24"/>
          <w:szCs w:val="24"/>
        </w:rPr>
      </w:pPr>
    </w:p>
    <w:p>
      <w:pPr>
        <w:pStyle w:val="53"/>
        <w:widowControl w:val="0"/>
        <w:spacing w:line="560" w:lineRule="exact"/>
        <w:rPr>
          <w:bCs/>
          <w:kern w:val="2"/>
          <w:sz w:val="24"/>
          <w:szCs w:val="24"/>
        </w:rPr>
      </w:pPr>
    </w:p>
    <w:p>
      <w:pPr>
        <w:pStyle w:val="53"/>
        <w:widowControl w:val="0"/>
        <w:spacing w:line="560" w:lineRule="exact"/>
        <w:rPr>
          <w:bCs/>
          <w:kern w:val="2"/>
          <w:sz w:val="24"/>
          <w:szCs w:val="24"/>
        </w:rPr>
      </w:pPr>
    </w:p>
    <w:p>
      <w:pPr>
        <w:spacing w:line="560" w:lineRule="exact"/>
        <w:jc w:val="center"/>
        <w:rPr>
          <w:rFonts w:eastAsia="黑体"/>
          <w:b/>
          <w:sz w:val="36"/>
          <w:szCs w:val="36"/>
        </w:rPr>
      </w:pPr>
      <w:r>
        <w:rPr>
          <w:rFonts w:eastAsia="黑体" w:hint="eastAsia"/>
          <w:b/>
          <w:sz w:val="36"/>
          <w:szCs w:val="36"/>
        </w:rPr>
        <w:t xml:space="preserve"> 重庆国际旅行卫生保健中心2026年职业病体检信息管理系统采购项目</w:t>
      </w:r>
    </w:p>
    <w:p>
      <w:pPr>
        <w:spacing w:line="560" w:lineRule="exact"/>
      </w:pPr>
    </w:p>
    <w:p>
      <w:pPr>
        <w:spacing w:line="560" w:lineRule="exact"/>
        <w:jc w:val="center"/>
        <w:rPr>
          <w:rFonts w:ascii="宋体"/>
          <w:b/>
          <w:color w:val="000000"/>
          <w:sz w:val="44"/>
          <w:szCs w:val="44"/>
        </w:rPr>
      </w:pPr>
    </w:p>
    <w:p>
      <w:pPr>
        <w:spacing w:line="560" w:lineRule="exact"/>
        <w:jc w:val="center"/>
        <w:rPr>
          <w:rFonts w:ascii="方正小标宋简体" w:eastAsia="方正小标宋简体"/>
          <w:color w:val="000000"/>
          <w:sz w:val="48"/>
          <w:szCs w:val="48"/>
        </w:rPr>
      </w:pPr>
      <w:r>
        <w:rPr>
          <w:rFonts w:ascii="方正小标宋简体" w:eastAsia="方正小标宋简体" w:hint="eastAsia"/>
          <w:color w:val="000000"/>
          <w:sz w:val="48"/>
          <w:szCs w:val="48"/>
        </w:rPr>
        <w:t>响应文件</w:t>
      </w:r>
    </w:p>
    <w:p>
      <w:pPr>
        <w:spacing w:line="560" w:lineRule="exact"/>
        <w:jc w:val="center"/>
        <w:rPr>
          <w:sz w:val="30"/>
        </w:rPr>
      </w:pPr>
    </w:p>
    <w:p>
      <w:pPr>
        <w:spacing w:line="560" w:lineRule="exact"/>
        <w:jc w:val="center"/>
        <w:rPr>
          <w:rFonts w:ascii="宋体"/>
          <w:b/>
          <w:color w:val="000000"/>
          <w:sz w:val="30"/>
          <w:szCs w:val="30"/>
        </w:rPr>
      </w:pPr>
    </w:p>
    <w:p>
      <w:pPr>
        <w:pStyle w:val="3"/>
        <w:spacing w:line="560" w:lineRule="exact"/>
        <w:rPr>
          <w:rFonts w:ascii="宋体"/>
          <w:color w:val="000000"/>
          <w:sz w:val="30"/>
          <w:szCs w:val="30"/>
        </w:rPr>
      </w:pPr>
    </w:p>
    <w:p>
      <w:pPr>
        <w:spacing w:line="560" w:lineRule="exact"/>
      </w:pPr>
    </w:p>
    <w:p>
      <w:pPr>
        <w:spacing w:line="560" w:lineRule="exact"/>
        <w:rPr>
          <w:rFonts w:ascii="宋体"/>
          <w:b/>
          <w:color w:val="000000"/>
          <w:sz w:val="30"/>
          <w:szCs w:val="30"/>
        </w:rPr>
      </w:pPr>
    </w:p>
    <w:p>
      <w:pPr>
        <w:snapToGrid w:val="0"/>
        <w:spacing w:line="560" w:lineRule="exact"/>
        <w:ind w:firstLineChars="659" w:firstLine="1977"/>
        <w:rPr>
          <w:rFonts w:ascii="宋体"/>
          <w:b/>
          <w:color w:val="000000"/>
          <w:sz w:val="30"/>
          <w:szCs w:val="30"/>
        </w:rPr>
      </w:pPr>
      <w:r>
        <w:rPr>
          <w:rFonts w:ascii="宋体" w:hint="eastAsia"/>
          <w:b/>
          <w:color w:val="000000"/>
          <w:sz w:val="30"/>
          <w:szCs w:val="30"/>
        </w:rPr>
        <w:t>供应商：</w:t>
      </w:r>
      <w:r>
        <w:rPr>
          <w:rFonts w:ascii="宋体" w:hint="eastAsia"/>
          <w:b/>
          <w:color w:val="000000"/>
          <w:sz w:val="30"/>
          <w:szCs w:val="30"/>
          <w:u w:val="single"/>
        </w:rPr>
        <w:tab/>
        <w:t>（盖章）</w:t>
      </w:r>
    </w:p>
    <w:p>
      <w:pPr>
        <w:snapToGrid w:val="0"/>
        <w:spacing w:line="560" w:lineRule="exact"/>
        <w:ind w:firstLineChars="659" w:firstLine="1977"/>
        <w:rPr>
          <w:rFonts w:ascii="宋体"/>
          <w:b/>
          <w:color w:val="000000"/>
          <w:sz w:val="30"/>
          <w:szCs w:val="30"/>
        </w:rPr>
      </w:pPr>
      <w:r>
        <w:rPr>
          <w:rFonts w:ascii="宋体" w:hint="eastAsia"/>
          <w:b/>
          <w:color w:val="000000"/>
          <w:sz w:val="30"/>
          <w:szCs w:val="30"/>
        </w:rPr>
        <w:t>法定代表人</w:t>
      </w:r>
    </w:p>
    <w:p>
      <w:pPr>
        <w:snapToGrid w:val="0"/>
        <w:spacing w:line="560" w:lineRule="exact"/>
        <w:ind w:firstLineChars="659" w:firstLine="1977"/>
        <w:rPr>
          <w:rFonts w:ascii="宋体"/>
          <w:b/>
          <w:color w:val="000000"/>
          <w:sz w:val="30"/>
          <w:szCs w:val="30"/>
        </w:rPr>
      </w:pPr>
      <w:r>
        <w:rPr>
          <w:rFonts w:ascii="宋体" w:hint="eastAsia"/>
          <w:b/>
          <w:color w:val="000000"/>
          <w:sz w:val="30"/>
          <w:szCs w:val="30"/>
        </w:rPr>
        <w:t>或其委托代理人：</w:t>
      </w:r>
      <w:r>
        <w:rPr>
          <w:rFonts w:ascii="宋体" w:hint="eastAsia"/>
          <w:b/>
          <w:color w:val="000000"/>
          <w:sz w:val="30"/>
          <w:szCs w:val="30"/>
          <w:u w:val="single"/>
        </w:rPr>
        <w:t>（签字）</w:t>
      </w:r>
    </w:p>
    <w:p>
      <w:pPr>
        <w:snapToGrid w:val="0"/>
        <w:spacing w:before="480" w:line="560" w:lineRule="exact"/>
        <w:ind w:firstLineChars="659" w:firstLine="1977"/>
        <w:rPr>
          <w:rFonts w:ascii="宋体"/>
          <w:b/>
          <w:color w:val="000000"/>
          <w:sz w:val="30"/>
          <w:szCs w:val="30"/>
        </w:rPr>
      </w:pPr>
      <w:r>
        <w:rPr>
          <w:rFonts w:ascii="宋体" w:hint="eastAsia"/>
          <w:b/>
          <w:color w:val="000000"/>
          <w:sz w:val="30"/>
          <w:szCs w:val="30"/>
        </w:rPr>
        <w:t>日期：      年   月   日</w:t>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tabs>
          <w:tab w:val="left" w:pos="0"/>
        </w:tabs>
        <w:spacing w:line="560" w:lineRule="exact"/>
        <w:rPr>
          <w:rFonts w:ascii="宋体"/>
          <w:color w:val="000000"/>
          <w:sz w:val="24"/>
        </w:rPr>
      </w:pPr>
    </w:p>
    <w:p>
      <w:pPr>
        <w:tabs>
          <w:tab w:val="left" w:pos="0"/>
        </w:tabs>
        <w:spacing w:line="560" w:lineRule="exact"/>
        <w:jc w:val="center"/>
        <w:rPr>
          <w:rFonts w:ascii="宋体"/>
          <w:color w:val="000000"/>
          <w:sz w:val="24"/>
        </w:rPr>
      </w:pPr>
    </w:p>
    <w:p>
      <w:pPr>
        <w:tabs>
          <w:tab w:val="left" w:pos="0"/>
        </w:tabs>
        <w:spacing w:line="560" w:lineRule="exact"/>
        <w:rPr>
          <w:rFonts w:ascii="宋体"/>
          <w:color w:val="000000"/>
          <w:sz w:val="24"/>
        </w:rPr>
      </w:pPr>
    </w:p>
    <w:p>
      <w:pPr>
        <w:tabs>
          <w:tab w:val="left" w:pos="0"/>
        </w:tabs>
        <w:spacing w:line="360" w:lineRule="auto"/>
        <w:jc w:val="center"/>
        <w:rPr>
          <w:b/>
          <w:color w:val="000000"/>
          <w:sz w:val="32"/>
          <w:szCs w:val="32"/>
        </w:rPr>
      </w:pPr>
      <w:r>
        <w:rPr>
          <w:rFonts w:hint="eastAsia"/>
          <w:color w:val="000000"/>
          <w:sz w:val="24"/>
        </w:rPr>
        <w:t>目录</w:t>
      </w:r>
    </w:p>
    <w:p>
      <w:pPr>
        <w:tabs>
          <w:tab w:val="left" w:pos="0"/>
        </w:tabs>
        <w:spacing w:line="360" w:lineRule="auto"/>
        <w:rPr>
          <w:color w:val="000000"/>
          <w:sz w:val="24"/>
        </w:rPr>
      </w:pPr>
    </w:p>
    <w:p>
      <w:pPr>
        <w:tabs>
          <w:tab w:val="left" w:pos="0"/>
        </w:tabs>
        <w:spacing w:line="360" w:lineRule="auto"/>
        <w:ind w:firstLineChars="1600" w:firstLine="3840"/>
        <w:rPr>
          <w:b/>
          <w:color w:val="000000"/>
          <w:sz w:val="24"/>
        </w:rPr>
      </w:pPr>
      <w:r>
        <w:rPr>
          <w:rFonts w:hint="eastAsia"/>
          <w:color w:val="000000"/>
          <w:sz w:val="24"/>
        </w:rPr>
        <w:t>（格式自定）</w:t>
      </w:r>
    </w:p>
    <w:p>
      <w:pPr>
        <w:tabs>
          <w:tab w:val="left" w:pos="0"/>
        </w:tabs>
        <w:spacing w:line="560" w:lineRule="exact"/>
        <w:rPr>
          <w:rFonts w:ascii="宋体"/>
          <w:b/>
          <w:sz w:val="24"/>
        </w:rPr>
      </w:pPr>
    </w:p>
    <w:p>
      <w:pPr>
        <w:tabs>
          <w:tab w:val="left" w:pos="0"/>
        </w:tabs>
        <w:spacing w:line="560" w:lineRule="exact"/>
        <w:rPr>
          <w:rFonts w:ascii="宋体"/>
          <w:b/>
          <w:sz w:val="24"/>
        </w:rPr>
      </w:pPr>
    </w:p>
    <w:p>
      <w:pPr>
        <w:widowControl/>
        <w:spacing w:line="560" w:lineRule="exact"/>
        <w:jc w:val="left"/>
        <w:rPr>
          <w:rFonts w:ascii="宋体"/>
          <w:b/>
          <w:sz w:val="24"/>
        </w:rPr>
      </w:pPr>
      <w:r>
        <w:rPr>
          <w:rFonts w:ascii="宋体"/>
          <w:b/>
          <w:sz w:val="24"/>
        </w:rPr>
        <w:br w:type="page"/>
      </w:r>
    </w:p>
    <w:p>
      <w:pPr>
        <w:spacing w:line="360" w:lineRule="auto"/>
        <w:rPr>
          <w:rFonts w:ascii="宋体" w:cs="宋体"/>
          <w:color w:val="000000"/>
          <w:sz w:val="24"/>
        </w:rPr>
      </w:pPr>
      <w:r>
        <w:rPr>
          <w:rFonts w:ascii="宋体" w:cs="宋体" w:hint="eastAsia"/>
          <w:color w:val="000000"/>
          <w:sz w:val="24"/>
        </w:rPr>
        <w:t>一、应答函</w:t>
      </w:r>
    </w:p>
    <w:p>
      <w:pPr>
        <w:spacing w:line="560" w:lineRule="exact"/>
        <w:ind w:firstLineChars="200" w:firstLine="480"/>
        <w:rPr>
          <w:rFonts w:ascii="宋体" w:cs="宋体"/>
          <w:color w:val="000000"/>
          <w:sz w:val="24"/>
        </w:rPr>
      </w:pPr>
      <w:r>
        <w:rPr>
          <w:rFonts w:ascii="宋体" w:cs="宋体" w:hint="eastAsia"/>
          <w:color w:val="000000"/>
          <w:sz w:val="24"/>
        </w:rPr>
        <w:t>致：重庆国际旅行卫生保健中心（重庆海关口岸门诊部） ：</w:t>
      </w:r>
    </w:p>
    <w:p>
      <w:pPr>
        <w:spacing w:line="560" w:lineRule="exact"/>
        <w:ind w:firstLineChars="200" w:firstLine="480"/>
        <w:rPr>
          <w:color w:val="000000"/>
          <w:sz w:val="24"/>
        </w:rPr>
      </w:pPr>
      <w:r>
        <w:rPr>
          <w:color w:val="000000"/>
          <w:sz w:val="24"/>
        </w:rPr>
        <w:t>我方收到</w:t>
      </w:r>
      <w:r>
        <w:rPr>
          <w:rFonts w:hint="eastAsia"/>
          <w:color w:val="000000"/>
          <w:sz w:val="24"/>
          <w:u w:val="single"/>
        </w:rPr>
        <w:t xml:space="preserve">                    </w:t>
      </w:r>
      <w:r>
        <w:rPr>
          <w:color w:val="000000"/>
          <w:sz w:val="24"/>
        </w:rPr>
        <w:t>的采购文件，经详细研究，决定参加该项目的比选，就参加本次报价有关事项郑重声明如下：</w:t>
      </w:r>
    </w:p>
    <w:p>
      <w:pPr>
        <w:spacing w:line="560" w:lineRule="exact"/>
        <w:ind w:firstLineChars="200" w:firstLine="480"/>
        <w:rPr>
          <w:color w:val="000000"/>
          <w:sz w:val="24"/>
        </w:rPr>
      </w:pPr>
      <w:r>
        <w:rPr>
          <w:color w:val="000000"/>
          <w:sz w:val="24"/>
        </w:rPr>
        <w:t>一、我方完全理解并接受该项目采购文件所有要求，完全答应采购文件中规定的所有条件和评审办法。</w:t>
      </w:r>
    </w:p>
    <w:p>
      <w:pPr>
        <w:spacing w:line="560" w:lineRule="exact"/>
        <w:ind w:firstLineChars="200" w:firstLine="480"/>
        <w:rPr>
          <w:color w:val="000000"/>
          <w:sz w:val="24"/>
        </w:rPr>
      </w:pPr>
      <w:r>
        <w:rPr>
          <w:color w:val="000000"/>
          <w:sz w:val="24"/>
        </w:rPr>
        <w:t>二、我方提交的所有响应文件、资料都是准确和真实的，如有虚假隐瞒或违规行为，我方愿意承担一切法律责任相关惩罚。</w:t>
      </w:r>
    </w:p>
    <w:p>
      <w:pPr>
        <w:spacing w:line="560" w:lineRule="exact"/>
        <w:ind w:firstLineChars="200" w:firstLine="480"/>
        <w:rPr>
          <w:color w:val="000000"/>
          <w:sz w:val="24"/>
        </w:rPr>
      </w:pPr>
      <w:r>
        <w:rPr>
          <w:color w:val="000000"/>
          <w:sz w:val="24"/>
        </w:rPr>
        <w:t>三、我方承诺按照采购文件要求，提供采购标的物的供应（或制造）及技术服务。</w:t>
      </w:r>
    </w:p>
    <w:p>
      <w:pPr>
        <w:spacing w:line="560" w:lineRule="exact"/>
        <w:ind w:firstLineChars="200" w:firstLine="480"/>
        <w:rPr>
          <w:color w:val="000000"/>
          <w:sz w:val="24"/>
        </w:rPr>
      </w:pPr>
      <w:r>
        <w:rPr>
          <w:color w:val="000000"/>
          <w:sz w:val="24"/>
        </w:rPr>
        <w:t>四、我方按采购文件要求提交的响应文件2份，其中正本1分、副本1份</w:t>
      </w:r>
    </w:p>
    <w:p>
      <w:pPr>
        <w:spacing w:line="560" w:lineRule="exact"/>
        <w:ind w:firstLineChars="200" w:firstLine="480"/>
        <w:rPr>
          <w:color w:val="000000"/>
          <w:sz w:val="24"/>
        </w:rPr>
      </w:pPr>
      <w:r>
        <w:rPr>
          <w:color w:val="000000"/>
          <w:sz w:val="24"/>
        </w:rPr>
        <w:t>五、我方承诺：本次报价的有效期为____天，即在报价有效期和合同有效期内，该报价固定不变。</w:t>
      </w:r>
    </w:p>
    <w:p>
      <w:pPr>
        <w:spacing w:line="560" w:lineRule="exact"/>
        <w:ind w:firstLineChars="200" w:firstLine="480"/>
        <w:rPr>
          <w:color w:val="000000"/>
          <w:sz w:val="24"/>
        </w:rPr>
      </w:pPr>
      <w:r>
        <w:rPr>
          <w:color w:val="000000"/>
          <w:sz w:val="24"/>
        </w:rPr>
        <w:t>六、如果我方成为成交单位，我方将履行采购文件中规定的各项要求以及我方响应文件的各项承诺，按《</w:t>
      </w:r>
      <w:r>
        <w:rPr>
          <w:rFonts w:hint="eastAsia"/>
          <w:color w:val="000000"/>
          <w:sz w:val="24"/>
        </w:rPr>
        <w:t>民法典</w:t>
      </w:r>
      <w:r>
        <w:rPr>
          <w:color w:val="000000"/>
          <w:sz w:val="24"/>
        </w:rPr>
        <w:t>》及合同约定条款承担我方责任。本承诺函连同响应文件将成为合同不可分割的一部分，与合同具有同等的法律效力。</w:t>
      </w:r>
    </w:p>
    <w:p>
      <w:pPr>
        <w:spacing w:line="560" w:lineRule="exact"/>
        <w:ind w:firstLineChars="200" w:firstLine="480"/>
        <w:rPr>
          <w:rFonts w:ascii="宋体" w:cs="宋体"/>
          <w:color w:val="000000"/>
          <w:sz w:val="24"/>
        </w:rPr>
      </w:pPr>
      <w:r>
        <w:rPr>
          <w:rFonts w:ascii="宋体" w:cs="宋体" w:hint="eastAsia"/>
          <w:color w:val="000000"/>
          <w:sz w:val="24"/>
        </w:rPr>
        <w:t>供应商（公章）</w:t>
      </w:r>
    </w:p>
    <w:p>
      <w:pPr>
        <w:spacing w:line="560" w:lineRule="exact"/>
        <w:ind w:firstLineChars="200" w:firstLine="480"/>
        <w:rPr>
          <w:rFonts w:ascii="宋体" w:cs="宋体"/>
          <w:color w:val="000000"/>
          <w:sz w:val="24"/>
        </w:rPr>
      </w:pPr>
    </w:p>
    <w:p>
      <w:pPr>
        <w:spacing w:line="560" w:lineRule="exact"/>
        <w:ind w:firstLineChars="200" w:firstLine="480"/>
        <w:rPr>
          <w:rFonts w:ascii="宋体" w:cs="宋体"/>
          <w:color w:val="000000"/>
          <w:sz w:val="24"/>
        </w:rPr>
      </w:pPr>
    </w:p>
    <w:p>
      <w:pPr>
        <w:spacing w:line="560" w:lineRule="exact"/>
        <w:ind w:firstLineChars="200" w:firstLine="480"/>
        <w:rPr>
          <w:rFonts w:ascii="宋体" w:cs="宋体"/>
          <w:color w:val="000000"/>
          <w:sz w:val="24"/>
        </w:rPr>
      </w:pPr>
      <w:r>
        <w:rPr>
          <w:rFonts w:ascii="宋体" w:cs="宋体" w:hint="eastAsia"/>
          <w:color w:val="000000"/>
          <w:sz w:val="24"/>
        </w:rPr>
        <w:t>地址：             电话：           联系人：</w:t>
      </w:r>
    </w:p>
    <w:p>
      <w:pPr>
        <w:spacing w:line="360" w:lineRule="auto"/>
        <w:ind w:firstLineChars="200" w:firstLine="480"/>
        <w:jc w:val="right"/>
        <w:rPr>
          <w:rFonts w:ascii="宋体" w:cs="宋体"/>
          <w:color w:val="000000"/>
          <w:sz w:val="24"/>
        </w:rPr>
      </w:pPr>
      <w:r>
        <w:rPr>
          <w:rFonts w:ascii="宋体" w:cs="宋体" w:hint="eastAsia"/>
          <w:color w:val="000000"/>
          <w:sz w:val="24"/>
        </w:rPr>
        <w:t>年   月   日</w:t>
      </w:r>
    </w:p>
    <w:p>
      <w:pPr>
        <w:spacing w:line="360" w:lineRule="auto"/>
        <w:rPr>
          <w:rFonts w:ascii="宋体" w:cs="宋体"/>
          <w:color w:val="000000"/>
          <w:sz w:val="24"/>
        </w:rPr>
      </w:pPr>
      <w:r>
        <w:rPr>
          <w:rFonts w:ascii="宋体" w:cs="宋体" w:hint="eastAsia"/>
          <w:color w:val="000000"/>
          <w:sz w:val="24"/>
        </w:rPr>
        <w:br w:type="page"/>
        <w:t>二、法定代表人证明书（格式）</w:t>
      </w:r>
    </w:p>
    <w:p>
      <w:pPr>
        <w:pStyle w:val="23"/>
        <w:adjustRightInd w:val="0"/>
        <w:snapToGrid w:val="0"/>
        <w:ind w:firstLineChars="200" w:firstLine="480"/>
        <w:rPr>
          <w:rFonts w:cs="宋体"/>
          <w:color w:val="000000"/>
          <w:sz w:val="24"/>
          <w:szCs w:val="24"/>
        </w:rPr>
      </w:pPr>
    </w:p>
    <w:p>
      <w:pPr>
        <w:spacing w:line="360" w:lineRule="auto"/>
        <w:rPr>
          <w:rFonts w:ascii="宋体" w:cs="宋体"/>
          <w:bCs/>
          <w:color w:val="000000"/>
          <w:sz w:val="24"/>
        </w:rPr>
      </w:pPr>
      <w:r>
        <w:rPr>
          <w:rFonts w:ascii="宋体" w:cs="宋体" w:hint="eastAsia"/>
          <w:color w:val="000000"/>
          <w:sz w:val="24"/>
        </w:rPr>
        <w:t>致：重庆国际旅行卫生保健中心（重庆海关口岸门诊部）</w:t>
      </w:r>
    </w:p>
    <w:p>
      <w:pPr>
        <w:spacing w:line="360" w:lineRule="auto"/>
        <w:ind w:firstLineChars="200" w:firstLine="480"/>
        <w:rPr>
          <w:rFonts w:ascii="宋体" w:cs="宋体"/>
          <w:color w:val="000000"/>
          <w:sz w:val="24"/>
        </w:rPr>
      </w:pPr>
      <w:r>
        <w:rPr>
          <w:rFonts w:ascii="宋体" w:cs="宋体" w:hint="eastAsia"/>
          <w:color w:val="000000"/>
          <w:sz w:val="24"/>
        </w:rPr>
        <w:t>姓名：</w:t>
      </w:r>
      <w:r>
        <w:rPr>
          <w:rFonts w:ascii="宋体" w:cs="宋体" w:hint="eastAsia"/>
          <w:color w:val="000000"/>
          <w:sz w:val="24"/>
          <w:u w:val="single"/>
        </w:rPr>
        <w:t xml:space="preserve">         </w:t>
      </w:r>
      <w:r>
        <w:rPr>
          <w:rFonts w:ascii="宋体" w:cs="宋体" w:hint="eastAsia"/>
          <w:color w:val="000000"/>
          <w:sz w:val="24"/>
        </w:rPr>
        <w:t>性别：</w:t>
      </w:r>
      <w:r>
        <w:rPr>
          <w:rFonts w:ascii="宋体" w:cs="宋体" w:hint="eastAsia"/>
          <w:color w:val="000000"/>
          <w:sz w:val="24"/>
          <w:u w:val="single"/>
        </w:rPr>
        <w:t xml:space="preserve">    </w:t>
      </w:r>
      <w:r>
        <w:rPr>
          <w:rFonts w:ascii="宋体" w:cs="宋体" w:hint="eastAsia"/>
          <w:color w:val="000000"/>
          <w:sz w:val="24"/>
        </w:rPr>
        <w:t>年龄：</w:t>
      </w:r>
      <w:r>
        <w:rPr>
          <w:rFonts w:ascii="宋体" w:cs="宋体" w:hint="eastAsia"/>
          <w:color w:val="000000"/>
          <w:sz w:val="24"/>
          <w:u w:val="single"/>
        </w:rPr>
        <w:t xml:space="preserve">    </w:t>
      </w:r>
      <w:r>
        <w:rPr>
          <w:rFonts w:ascii="宋体" w:cs="宋体" w:hint="eastAsia"/>
          <w:color w:val="000000"/>
          <w:sz w:val="24"/>
        </w:rPr>
        <w:t>职务：</w:t>
      </w:r>
      <w:r>
        <w:rPr>
          <w:rFonts w:ascii="宋体" w:cs="宋体" w:hint="eastAsia"/>
          <w:color w:val="000000"/>
          <w:sz w:val="24"/>
          <w:u w:val="single"/>
        </w:rPr>
        <w:t xml:space="preserve">              </w:t>
      </w:r>
      <w:r>
        <w:rPr>
          <w:rFonts w:ascii="宋体" w:cs="宋体" w:hint="eastAsia"/>
          <w:color w:val="000000"/>
          <w:sz w:val="24"/>
        </w:rPr>
        <w:t>身份证号码：</w:t>
      </w:r>
      <w:r>
        <w:rPr>
          <w:rFonts w:ascii="宋体" w:cs="宋体" w:hint="eastAsia"/>
          <w:color w:val="000000"/>
          <w:sz w:val="24"/>
          <w:u w:val="single"/>
        </w:rPr>
        <w:t xml:space="preserve">        </w:t>
      </w:r>
    </w:p>
    <w:p>
      <w:pPr>
        <w:spacing w:line="360" w:lineRule="auto"/>
        <w:rPr>
          <w:rFonts w:ascii="宋体" w:cs="宋体"/>
          <w:color w:val="000000"/>
          <w:sz w:val="24"/>
        </w:rPr>
      </w:pPr>
      <w:r>
        <w:rPr>
          <w:rFonts w:ascii="宋体" w:cs="宋体" w:hint="eastAsia"/>
          <w:color w:val="000000"/>
          <w:sz w:val="24"/>
        </w:rPr>
        <w:t>系</w:t>
      </w:r>
      <w:r>
        <w:rPr>
          <w:rFonts w:ascii="宋体" w:cs="宋体" w:hint="eastAsia"/>
          <w:color w:val="000000"/>
          <w:sz w:val="24"/>
          <w:u w:val="single"/>
        </w:rPr>
        <w:t xml:space="preserve">        （投标人名称）        </w:t>
      </w:r>
      <w:r>
        <w:rPr>
          <w:rFonts w:ascii="宋体" w:cs="宋体" w:hint="eastAsia"/>
          <w:color w:val="000000"/>
          <w:sz w:val="24"/>
        </w:rPr>
        <w:t>的法定代表人。为</w:t>
      </w:r>
      <w:r>
        <w:rPr>
          <w:rFonts w:ascii="宋体" w:cs="宋体" w:hint="eastAsia"/>
          <w:color w:val="000000"/>
          <w:sz w:val="24"/>
          <w:u w:val="single"/>
        </w:rPr>
        <w:t xml:space="preserve">              </w:t>
      </w:r>
      <w:r>
        <w:rPr>
          <w:rFonts w:ascii="宋体" w:cs="宋体" w:hint="eastAsia"/>
          <w:color w:val="000000"/>
          <w:sz w:val="24"/>
        </w:rPr>
        <w:t>项目签署响应文件、进行合同签署和处理与之有关的一切事务。</w:t>
      </w:r>
    </w:p>
    <w:p>
      <w:pPr>
        <w:spacing w:line="440" w:lineRule="exact"/>
        <w:ind w:firstLineChars="200" w:firstLine="480"/>
        <w:rPr>
          <w:rFonts w:ascii="宋体" w:cs="宋体"/>
          <w:color w:val="000000"/>
          <w:sz w:val="24"/>
        </w:rPr>
      </w:pPr>
      <w:r>
        <w:rPr>
          <w:rFonts w:ascii="宋体" w:cs="宋体" w:hint="eastAsia"/>
          <w:color w:val="000000"/>
          <w:sz w:val="24"/>
        </w:rPr>
        <w:t>特此证明。</w:t>
      </w:r>
    </w:p>
    <w:p>
      <w:pPr>
        <w:pStyle w:val="23"/>
        <w:adjustRightInd w:val="0"/>
        <w:snapToGrid w:val="0"/>
        <w:rPr>
          <w:rFonts w:cs="宋体"/>
          <w:color w:val="000000"/>
          <w:sz w:val="24"/>
          <w:szCs w:val="24"/>
        </w:rPr>
      </w:pPr>
      <w:r>
        <w:rPr>
          <w:rFonts w:cs="宋体" w:hint="eastAsia"/>
          <w:color w:val="000000"/>
          <w:sz w:val="24"/>
          <w:szCs w:val="24"/>
        </w:rPr>
        <w:t xml:space="preserve">    </w:t>
      </w:r>
    </w:p>
    <w:p>
      <w:pPr>
        <w:pStyle w:val="23"/>
        <w:adjustRightInd w:val="0"/>
        <w:snapToGrid w:val="0"/>
        <w:ind w:firstLineChars="200" w:firstLine="480"/>
        <w:jc w:val="right"/>
        <w:rPr>
          <w:rFonts w:cs="宋体"/>
          <w:color w:val="000000"/>
          <w:sz w:val="24"/>
          <w:szCs w:val="24"/>
        </w:rPr>
      </w:pPr>
    </w:p>
    <w:p>
      <w:pPr>
        <w:pStyle w:val="23"/>
        <w:adjustRightInd w:val="0"/>
        <w:snapToGrid w:val="0"/>
        <w:ind w:firstLineChars="200" w:firstLine="480"/>
        <w:jc w:val="right"/>
        <w:rPr>
          <w:rFonts w:cs="宋体"/>
          <w:color w:val="000000"/>
          <w:sz w:val="24"/>
          <w:szCs w:val="24"/>
          <w:u w:val="single"/>
        </w:rPr>
      </w:pPr>
      <w:r>
        <w:rPr>
          <w:rFonts w:cs="宋体" w:hint="eastAsia"/>
          <w:color w:val="000000"/>
          <w:sz w:val="24"/>
          <w:szCs w:val="24"/>
        </w:rPr>
        <w:t>投标人：</w:t>
      </w:r>
      <w:r>
        <w:rPr>
          <w:rFonts w:cs="宋体" w:hint="eastAsia"/>
          <w:color w:val="000000"/>
          <w:sz w:val="24"/>
          <w:szCs w:val="24"/>
          <w:u w:val="single"/>
        </w:rPr>
        <w:t xml:space="preserve">                                 </w:t>
      </w:r>
      <w:r>
        <w:rPr>
          <w:rFonts w:cs="宋体" w:hint="eastAsia"/>
          <w:color w:val="000000"/>
          <w:sz w:val="24"/>
          <w:szCs w:val="24"/>
        </w:rPr>
        <w:t>（公章）</w:t>
      </w:r>
    </w:p>
    <w:p>
      <w:pPr>
        <w:pStyle w:val="23"/>
        <w:adjustRightInd w:val="0"/>
        <w:snapToGrid w:val="0"/>
        <w:ind w:firstLineChars="200" w:firstLine="480"/>
        <w:jc w:val="right"/>
        <w:rPr>
          <w:rFonts w:cs="宋体"/>
          <w:color w:val="000000"/>
          <w:sz w:val="24"/>
          <w:szCs w:val="24"/>
        </w:rPr>
      </w:pPr>
    </w:p>
    <w:p>
      <w:pPr>
        <w:pStyle w:val="23"/>
        <w:adjustRightInd w:val="0"/>
        <w:snapToGrid w:val="0"/>
        <w:ind w:firstLineChars="200" w:firstLine="480"/>
        <w:jc w:val="right"/>
        <w:rPr>
          <w:rFonts w:cs="宋体"/>
          <w:color w:val="000000"/>
          <w:sz w:val="24"/>
          <w:szCs w:val="24"/>
        </w:rPr>
      </w:pPr>
      <w:r>
        <w:rPr>
          <w:rFonts w:cs="宋体" w:hint="eastAsia"/>
          <w:color w:val="000000"/>
          <w:sz w:val="24"/>
          <w:szCs w:val="24"/>
        </w:rPr>
        <w:t>日期：</w:t>
      </w:r>
      <w:r>
        <w:rPr>
          <w:rFonts w:cs="宋体" w:hint="eastAsia"/>
          <w:color w:val="000000"/>
          <w:sz w:val="24"/>
          <w:szCs w:val="24"/>
          <w:u w:val="single"/>
        </w:rPr>
        <w:t xml:space="preserve">       </w:t>
      </w:r>
      <w:r>
        <w:rPr>
          <w:rFonts w:cs="宋体" w:hint="eastAsia"/>
          <w:color w:val="000000"/>
          <w:sz w:val="24"/>
          <w:szCs w:val="24"/>
        </w:rPr>
        <w:t>年</w:t>
      </w:r>
      <w:r>
        <w:rPr>
          <w:rFonts w:cs="宋体" w:hint="eastAsia"/>
          <w:color w:val="000000"/>
          <w:sz w:val="24"/>
          <w:szCs w:val="24"/>
          <w:u w:val="single"/>
        </w:rPr>
        <w:t xml:space="preserve">     </w:t>
      </w:r>
      <w:r>
        <w:rPr>
          <w:rFonts w:cs="宋体" w:hint="eastAsia"/>
          <w:color w:val="000000"/>
          <w:sz w:val="24"/>
          <w:szCs w:val="24"/>
        </w:rPr>
        <w:t>月</w:t>
      </w:r>
      <w:r>
        <w:rPr>
          <w:rFonts w:cs="宋体" w:hint="eastAsia"/>
          <w:color w:val="000000"/>
          <w:sz w:val="24"/>
          <w:szCs w:val="24"/>
          <w:u w:val="single"/>
        </w:rPr>
        <w:t xml:space="preserve">    </w:t>
      </w:r>
      <w:r>
        <w:rPr>
          <w:rFonts w:cs="宋体" w:hint="eastAsia"/>
          <w:color w:val="000000"/>
          <w:sz w:val="24"/>
          <w:szCs w:val="24"/>
        </w:rPr>
        <w:t>日</w:t>
      </w:r>
    </w:p>
    <w:p>
      <w:pPr>
        <w:adjustRightInd w:val="0"/>
        <w:snapToGrid w:val="0"/>
        <w:spacing w:line="360" w:lineRule="auto"/>
        <w:rPr>
          <w:rFonts w:ascii="宋体" w:cs="宋体"/>
          <w:color w:val="000000"/>
          <w:sz w:val="24"/>
        </w:rPr>
      </w:pPr>
    </w:p>
    <w:p>
      <w:pPr>
        <w:spacing w:line="360" w:lineRule="auto"/>
        <w:ind w:left="840" w:hangingChars="350" w:hanging="840"/>
        <w:rPr>
          <w:rFonts w:ascii="宋体" w:cs="宋体"/>
          <w:color w:val="000000"/>
          <w:sz w:val="24"/>
        </w:rPr>
      </w:pPr>
      <w:r>
        <w:rPr>
          <w:rFonts w:ascii="宋体" w:cs="宋体" w:hint="eastAsia"/>
          <w:color w:val="000000"/>
          <w:sz w:val="24"/>
        </w:rPr>
        <w:t>注：1．此处所述“法定代表人/受委托执行合伙事务的合伙人”须与投标人“营业执照”的内容一致。</w:t>
      </w:r>
    </w:p>
    <w:p>
      <w:pPr>
        <w:spacing w:line="360" w:lineRule="auto"/>
        <w:ind w:firstLine="420"/>
        <w:rPr>
          <w:rFonts w:ascii="宋体" w:cs="宋体"/>
          <w:color w:val="000000"/>
          <w:sz w:val="24"/>
        </w:rPr>
      </w:pPr>
      <w:r>
        <w:rPr>
          <w:rFonts w:ascii="宋体" w:cs="宋体" w:hint="eastAsia"/>
          <w:color w:val="000000"/>
          <w:sz w:val="24"/>
        </w:rPr>
        <w:t>2．法定代表人/受委托执行合伙事务的合伙人作为本项目的投标代表时，须提供此附件。</w:t>
      </w:r>
    </w:p>
    <w:p>
      <w:pPr>
        <w:rPr>
          <w:rFonts w:ascii="宋体" w:cs="宋体"/>
          <w:color w:val="000000"/>
          <w:sz w:val="24"/>
        </w:rPr>
      </w:pPr>
    </w:p>
    <w:p>
      <w:pPr>
        <w:ind w:firstLineChars="200" w:firstLine="480"/>
        <w:rPr>
          <w:rFonts w:ascii="宋体" w:cs="宋体"/>
          <w:color w:val="000000"/>
          <w:sz w:val="24"/>
        </w:rPr>
      </w:pPr>
      <w:r>
        <w:rPr>
          <w:rFonts w:ascii="宋体" w:cs="宋体" w:hint="eastAsia"/>
          <w:color w:val="000000"/>
          <w:sz w:val="24"/>
        </w:rPr>
        <w:t>附：法定代表人</w:t>
      </w:r>
      <w:r>
        <w:rPr>
          <w:rFonts w:ascii="宋体" w:cs="宋体" w:hint="eastAsia"/>
          <w:color w:val="000000"/>
          <w:sz w:val="24"/>
          <w:lang w:val="zh-CN"/>
        </w:rPr>
        <w:t>/</w:t>
      </w:r>
      <w:r>
        <w:rPr>
          <w:rFonts w:ascii="宋体" w:cs="宋体" w:hint="eastAsia"/>
          <w:color w:val="000000"/>
          <w:sz w:val="24"/>
        </w:rPr>
        <w:t>受委托执行合伙事务的合伙人的身份证复印件：</w:t>
      </w:r>
    </w:p>
    <w:p>
      <w:pPr>
        <w:spacing w:line="360" w:lineRule="auto"/>
        <w:jc w:val="center"/>
        <w:rPr>
          <w:rFonts w:ascii="宋体" w:cs="宋体"/>
          <w:color w:val="000000"/>
          <w:sz w:val="24"/>
        </w:rPr>
      </w:pPr>
      <w:r>
        <w:rPr>
          <w:rFonts w:ascii="宋体" w:cs="宋体"/>
          <w:color w:val="000000"/>
          <w:sz w:val="24"/>
        </w:rPr>
        <mc:AlternateContent>
          <mc:Choice Requires="wps">
            <w:drawing>
              <wp:anchor distT="0" distB="0" distL="114298" distR="114298" simplePos="0" relativeHeight="11" behindDoc="0" locked="0" layoutInCell="1" hidden="0" allowOverlap="1">
                <wp:simplePos x="0" y="0"/>
                <wp:positionH relativeFrom="column">
                  <wp:posOffset>3061970</wp:posOffset>
                </wp:positionH>
                <wp:positionV relativeFrom="paragraph">
                  <wp:posOffset>530225</wp:posOffset>
                </wp:positionV>
                <wp:extent cx="3086100" cy="1962150"/>
                <wp:effectExtent l="0" t="0" r="0" b="0"/>
                <wp:wrapNone/>
                <wp:docPr id="1" name="1026 14"/>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1026 14 2" o:spid="_x0000_s2" fillcolor="#FFFFFF" stroked="t" adj="3600" style="position:absolute;margin-left:241.09999pt;margin-top:41.75pt;width:243.0pt;height:154.5pt;z-index:11;mso-position-horizontal:absolute;mso-position-vertical:absolute;mso-wrap-distance-left:8.999863pt;mso-wrap-distance-right:8.999863pt;">
                <v:stroke dashstyle="dashDot" color="#000000"/>
              </v:shape>
            </w:pict>
          </mc:Fallback>
        </mc:AlternateContent>
      </w:r>
      <w:r>
        <w:rPr>
          <w:rFonts w:ascii="宋体" w:cs="宋体"/>
          <w:color w:val="000000"/>
          <w:sz w:val="24"/>
        </w:rPr>
        <mc:AlternateContent>
          <mc:Choice Requires="wps">
            <w:drawing>
              <wp:anchor distT="0" distB="0" distL="114298" distR="114298" simplePos="0" relativeHeight="12" behindDoc="0" locked="0" layoutInCell="1" hidden="0" allowOverlap="1">
                <wp:simplePos x="0" y="0"/>
                <wp:positionH relativeFrom="column">
                  <wp:posOffset>-99695</wp:posOffset>
                </wp:positionH>
                <wp:positionV relativeFrom="paragraph">
                  <wp:posOffset>530225</wp:posOffset>
                </wp:positionV>
                <wp:extent cx="3086100" cy="1962150"/>
                <wp:effectExtent l="0" t="0" r="0" b="0"/>
                <wp:wrapNone/>
                <wp:docPr id="3" name="1027 16"/>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1027 16 4" o:spid="_x0000_s4" fillcolor="#FFFFFF" stroked="t" adj="3600" style="position:absolute;margin-left:-7.8499994pt;margin-top:41.75pt;width:243.0pt;height:154.5pt;z-index:12;mso-position-horizontal:absolute;mso-position-vertical:absolute;mso-wrap-distance-left:8.999863pt;mso-wrap-distance-right:8.999863pt;">
                <v:stroke dashstyle="dashDot" color="#000000"/>
              </v:shape>
            </w:pict>
          </mc:Fallback>
        </mc:AlternateContent>
      </w:r>
      <w:r>
        <w:rPr>
          <w:rFonts w:ascii="宋体" w:cs="宋体" w:hint="eastAsia"/>
          <w:color w:val="000000"/>
          <w:sz w:val="24"/>
        </w:rPr>
        <w:br w:type="page"/>
      </w:r>
    </w:p>
    <w:p>
      <w:pPr>
        <w:spacing w:line="360" w:lineRule="auto"/>
        <w:rPr>
          <w:rFonts w:ascii="宋体" w:cs="宋体"/>
          <w:color w:val="000000"/>
          <w:sz w:val="24"/>
        </w:rPr>
      </w:pPr>
      <w:r>
        <w:rPr>
          <w:rFonts w:ascii="宋体" w:cs="宋体" w:hint="eastAsia"/>
          <w:color w:val="000000"/>
          <w:sz w:val="24"/>
        </w:rPr>
        <w:t>三、法定代表人授权委托书</w:t>
      </w:r>
    </w:p>
    <w:p>
      <w:pPr>
        <w:snapToGrid w:val="0"/>
        <w:spacing w:line="560" w:lineRule="exact"/>
        <w:ind w:firstLineChars="200" w:firstLine="480"/>
        <w:jc w:val="center"/>
        <w:rPr>
          <w:rFonts w:ascii="宋体" w:cs="宋体"/>
          <w:color w:val="000000"/>
          <w:sz w:val="24"/>
        </w:rPr>
      </w:pPr>
    </w:p>
    <w:p>
      <w:pPr>
        <w:spacing w:line="360" w:lineRule="auto"/>
        <w:ind w:firstLineChars="200" w:firstLine="480"/>
        <w:rPr>
          <w:rFonts w:ascii="宋体" w:cs="宋体"/>
          <w:color w:val="000000"/>
          <w:sz w:val="24"/>
        </w:rPr>
      </w:pPr>
      <w:r>
        <w:rPr>
          <w:rFonts w:ascii="宋体" w:cs="宋体" w:hint="eastAsia"/>
          <w:color w:val="000000"/>
          <w:sz w:val="24"/>
        </w:rPr>
        <w:t xml:space="preserve">采购项目名称：                   </w:t>
      </w:r>
    </w:p>
    <w:p>
      <w:pPr>
        <w:spacing w:line="360" w:lineRule="auto"/>
        <w:ind w:firstLineChars="200" w:firstLine="480"/>
        <w:rPr>
          <w:rFonts w:ascii="宋体" w:cs="宋体"/>
          <w:color w:val="000000"/>
          <w:sz w:val="24"/>
        </w:rPr>
      </w:pPr>
      <w:r>
        <w:rPr>
          <w:rFonts w:ascii="宋体" w:cs="宋体" w:hint="eastAsia"/>
          <w:color w:val="000000"/>
          <w:sz w:val="24"/>
        </w:rPr>
        <w:t>致：                     （采购人名称）：</w:t>
      </w:r>
    </w:p>
    <w:p>
      <w:pPr>
        <w:spacing w:line="360" w:lineRule="auto"/>
        <w:ind w:firstLineChars="200" w:firstLine="480"/>
        <w:rPr>
          <w:rFonts w:ascii="宋体" w:cs="宋体"/>
          <w:color w:val="000000"/>
          <w:sz w:val="24"/>
        </w:rPr>
      </w:pPr>
      <w:r>
        <w:rPr>
          <w:rFonts w:ascii="宋体" w:cs="宋体" w:hint="eastAsia"/>
          <w:color w:val="000000"/>
          <w:sz w:val="24"/>
        </w:rPr>
        <w:t xml:space="preserve">             （法定代表人名称）是                    （供应商名称）的法定代表人，特授权          （被授权人姓名及身份证代码）代表我单位全权办理上述项目的报价参与、签约等具体工作，并签署全部有关文件、协议及合同。</w:t>
      </w:r>
    </w:p>
    <w:p>
      <w:pPr>
        <w:spacing w:line="360" w:lineRule="auto"/>
        <w:ind w:firstLineChars="200" w:firstLine="480"/>
        <w:rPr>
          <w:rFonts w:ascii="宋体" w:cs="宋体"/>
          <w:color w:val="000000"/>
          <w:sz w:val="24"/>
        </w:rPr>
      </w:pPr>
      <w:r>
        <w:rPr>
          <w:rFonts w:ascii="宋体" w:cs="宋体" w:hint="eastAsia"/>
          <w:color w:val="000000"/>
          <w:sz w:val="24"/>
        </w:rPr>
        <w:t>我单位对被授权人的签名负全部责任。</w:t>
      </w:r>
    </w:p>
    <w:p>
      <w:pPr>
        <w:spacing w:line="360" w:lineRule="auto"/>
        <w:ind w:firstLineChars="200" w:firstLine="480"/>
        <w:rPr>
          <w:rFonts w:ascii="宋体" w:cs="宋体"/>
          <w:color w:val="000000"/>
          <w:sz w:val="24"/>
        </w:rPr>
      </w:pPr>
      <w:r>
        <w:rPr>
          <w:rFonts w:ascii="宋体" w:cs="宋体" w:hint="eastAsia"/>
          <w:color w:val="000000"/>
          <w:sz w:val="24"/>
        </w:rPr>
        <w:t>在撤消授权的书面通知以前，本授权书一直有效。被授权人在授权书有效期内签署的所有文件不因授权的撤消而失效。</w:t>
      </w:r>
    </w:p>
    <w:p>
      <w:pPr>
        <w:spacing w:line="360" w:lineRule="auto"/>
        <w:ind w:firstLineChars="200" w:firstLine="480"/>
        <w:rPr>
          <w:rFonts w:ascii="宋体" w:cs="宋体"/>
          <w:color w:val="000000"/>
          <w:sz w:val="24"/>
        </w:rPr>
      </w:pPr>
      <w:r>
        <w:rPr>
          <w:rFonts w:ascii="宋体" w:cs="宋体" w:hint="eastAsia"/>
          <w:color w:val="000000"/>
          <w:sz w:val="24"/>
        </w:rPr>
        <w:t xml:space="preserve">被授权人签名：           供应商法定代表人签名：        </w:t>
      </w:r>
    </w:p>
    <w:p>
      <w:pPr>
        <w:spacing w:line="360" w:lineRule="auto"/>
        <w:ind w:firstLineChars="200" w:firstLine="480"/>
        <w:rPr>
          <w:rFonts w:ascii="宋体" w:cs="宋体"/>
          <w:color w:val="000000"/>
          <w:sz w:val="24"/>
        </w:rPr>
      </w:pPr>
      <w:r>
        <w:rPr>
          <w:rFonts w:ascii="宋体" w:cs="宋体" w:hint="eastAsia"/>
          <w:color w:val="000000"/>
          <w:sz w:val="24"/>
        </w:rPr>
        <w:t xml:space="preserve">（附：被授权人身份证复印件、法定代表人身份证复印件）   </w:t>
      </w:r>
    </w:p>
    <w:p>
      <w:pPr>
        <w:spacing w:line="360" w:lineRule="auto"/>
        <w:ind w:firstLineChars="200" w:firstLine="480"/>
        <w:rPr>
          <w:rFonts w:ascii="宋体" w:cs="宋体"/>
          <w:color w:val="000000"/>
          <w:sz w:val="24"/>
        </w:rPr>
      </w:pPr>
    </w:p>
    <w:p>
      <w:pPr>
        <w:spacing w:line="360" w:lineRule="auto"/>
        <w:ind w:firstLineChars="200" w:firstLine="480"/>
        <w:rPr>
          <w:rFonts w:ascii="宋体" w:cs="宋体"/>
          <w:color w:val="000000"/>
          <w:sz w:val="24"/>
        </w:rPr>
      </w:pPr>
    </w:p>
    <w:p>
      <w:pPr>
        <w:spacing w:line="360" w:lineRule="auto"/>
        <w:ind w:firstLineChars="200" w:firstLine="480"/>
        <w:rPr>
          <w:rFonts w:ascii="宋体" w:cs="宋体"/>
          <w:color w:val="000000"/>
          <w:sz w:val="24"/>
        </w:rPr>
      </w:pPr>
    </w:p>
    <w:p>
      <w:pPr>
        <w:spacing w:line="360" w:lineRule="auto"/>
        <w:ind w:firstLineChars="200" w:firstLine="480"/>
        <w:rPr>
          <w:rFonts w:ascii="宋体" w:cs="宋体"/>
          <w:color w:val="000000"/>
          <w:sz w:val="24"/>
        </w:rPr>
      </w:pPr>
    </w:p>
    <w:p>
      <w:pPr>
        <w:spacing w:line="360" w:lineRule="auto"/>
        <w:ind w:firstLineChars="200" w:firstLine="480"/>
        <w:rPr>
          <w:rFonts w:ascii="宋体" w:cs="宋体"/>
          <w:color w:val="000000"/>
          <w:sz w:val="24"/>
        </w:rPr>
      </w:pPr>
      <w:r>
        <w:rPr>
          <w:rFonts w:ascii="宋体" w:cs="宋体" w:hint="eastAsia"/>
          <w:color w:val="000000"/>
          <w:sz w:val="24"/>
        </w:rPr>
        <w:t xml:space="preserve">                                   </w:t>
      </w:r>
    </w:p>
    <w:p>
      <w:pPr>
        <w:spacing w:line="360" w:lineRule="auto"/>
        <w:ind w:firstLineChars="200" w:firstLine="480"/>
        <w:jc w:val="right"/>
        <w:rPr>
          <w:rFonts w:ascii="宋体" w:cs="宋体"/>
          <w:color w:val="000000"/>
          <w:sz w:val="24"/>
        </w:rPr>
      </w:pPr>
      <w:r>
        <w:rPr>
          <w:rFonts w:ascii="宋体" w:cs="宋体" w:hint="eastAsia"/>
          <w:color w:val="000000"/>
          <w:sz w:val="24"/>
        </w:rPr>
        <w:t>（报价人公章）</w:t>
      </w:r>
    </w:p>
    <w:p>
      <w:pPr>
        <w:spacing w:line="360" w:lineRule="auto"/>
        <w:ind w:firstLineChars="200" w:firstLine="480"/>
        <w:jc w:val="right"/>
        <w:rPr>
          <w:rFonts w:ascii="宋体" w:cs="宋体"/>
          <w:color w:val="000000"/>
          <w:sz w:val="24"/>
        </w:rPr>
      </w:pPr>
      <w:r>
        <w:rPr>
          <w:rFonts w:ascii="宋体" w:cs="宋体" w:hint="eastAsia"/>
          <w:color w:val="000000"/>
          <w:sz w:val="24"/>
        </w:rPr>
        <w:t>年   月   日</w:t>
      </w:r>
    </w:p>
    <w:p>
      <w:pPr>
        <w:spacing w:line="360" w:lineRule="auto"/>
        <w:ind w:firstLineChars="200" w:firstLine="480"/>
        <w:rPr>
          <w:rFonts w:ascii="宋体" w:cs="宋体"/>
          <w:color w:val="000000"/>
          <w:sz w:val="24"/>
        </w:rPr>
      </w:pPr>
      <w:r>
        <w:rPr>
          <w:rFonts w:ascii="宋体" w:cs="宋体" w:hint="eastAsia"/>
          <w:color w:val="000000"/>
          <w:sz w:val="24"/>
        </w:rPr>
        <w:br w:type="page"/>
      </w:r>
    </w:p>
    <w:p>
      <w:pPr>
        <w:numPr>
          <w:ilvl w:val="0"/>
          <w:numId w:val="9"/>
        </w:numPr>
        <w:spacing w:line="360" w:lineRule="auto"/>
        <w:rPr>
          <w:rFonts w:ascii="宋体" w:cs="宋体"/>
          <w:color w:val="000000"/>
          <w:sz w:val="24"/>
        </w:rPr>
      </w:pPr>
      <w:r>
        <w:rPr>
          <w:rFonts w:ascii="宋体" w:cs="宋体" w:hint="eastAsia"/>
          <w:color w:val="000000"/>
          <w:sz w:val="24"/>
        </w:rPr>
        <w:t>资格审查</w:t>
      </w:r>
    </w:p>
    <w:p>
      <w:pPr>
        <w:spacing w:line="360" w:lineRule="auto"/>
        <w:rPr>
          <w:rFonts w:ascii="宋体" w:cs="宋体"/>
          <w:color w:val="000000"/>
          <w:sz w:val="24"/>
        </w:rPr>
      </w:pPr>
      <w:r>
        <w:rPr>
          <w:rFonts w:ascii="宋体" w:cs="宋体" w:hint="eastAsia"/>
          <w:color w:val="000000"/>
          <w:sz w:val="24"/>
        </w:rPr>
        <w:t>（一）供应商基本资格审查一览表</w:t>
      </w:r>
    </w:p>
    <w:p>
      <w:pPr>
        <w:pStyle w:val="73"/>
        <w:spacing w:line="560" w:lineRule="exact"/>
        <w:ind w:firstLineChars="200" w:firstLine="480"/>
        <w:rPr>
          <w:rFonts w:ascii="宋体" w:cs="宋体"/>
          <w:sz w:val="24"/>
        </w:rPr>
      </w:pPr>
      <w:r>
        <w:rPr>
          <w:rFonts w:ascii="宋体" w:cs="宋体" w:hint="eastAsia"/>
          <w:sz w:val="24"/>
        </w:rPr>
        <w:t>投标人承诺：本投标人具备《政府采购法》第二十二条规定的资格条件，具有《政府采购法实施条例》第十七条规定的证明材料，不存在政府采购法第七十七条规定的情况。如有违反，愿依法接受相应处罚。</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98"/>
        <w:gridCol w:w="7483"/>
        <w:gridCol w:w="1220"/>
      </w:tblGrid>
      <w:tr>
        <w:tc>
          <w:tcPr>
            <w:tcW w:w="698" w:type="dxa"/>
            <w:tcBorders>
              <w:tl2br w:val="nil"/>
              <w:tr2bl w:val="nil"/>
            </w:tcBorders>
          </w:tcPr>
          <w:p>
            <w:pPr>
              <w:pStyle w:val="73"/>
              <w:spacing w:line="560" w:lineRule="exact"/>
              <w:jc w:val="center"/>
              <w:rPr>
                <w:rFonts w:ascii="宋体" w:cs="宋体"/>
                <w:sz w:val="24"/>
              </w:rPr>
            </w:pPr>
            <w:r>
              <w:rPr>
                <w:rFonts w:ascii="宋体" w:cs="宋体" w:hint="eastAsia"/>
                <w:sz w:val="24"/>
              </w:rPr>
              <w:t>序号</w:t>
            </w:r>
          </w:p>
        </w:tc>
        <w:tc>
          <w:tcPr>
            <w:tcW w:w="7483" w:type="dxa"/>
            <w:tcBorders>
              <w:tl2br w:val="nil"/>
              <w:tr2bl w:val="nil"/>
            </w:tcBorders>
          </w:tcPr>
          <w:p>
            <w:pPr>
              <w:pStyle w:val="73"/>
              <w:spacing w:line="560" w:lineRule="exact"/>
              <w:jc w:val="center"/>
              <w:rPr>
                <w:rFonts w:ascii="宋体" w:cs="宋体"/>
                <w:sz w:val="24"/>
              </w:rPr>
            </w:pPr>
            <w:r>
              <w:rPr>
                <w:rFonts w:ascii="宋体" w:cs="宋体" w:hint="eastAsia"/>
                <w:sz w:val="24"/>
              </w:rPr>
              <w:t>评审内容</w:t>
            </w:r>
          </w:p>
        </w:tc>
        <w:tc>
          <w:tcPr>
            <w:tcW w:w="1220" w:type="dxa"/>
            <w:tcBorders>
              <w:tl2br w:val="nil"/>
              <w:tr2bl w:val="nil"/>
            </w:tcBorders>
          </w:tcPr>
          <w:p>
            <w:pPr>
              <w:pStyle w:val="73"/>
              <w:spacing w:line="560" w:lineRule="exact"/>
              <w:jc w:val="center"/>
              <w:rPr>
                <w:rFonts w:ascii="宋体" w:cs="宋体"/>
                <w:sz w:val="24"/>
              </w:rPr>
            </w:pPr>
            <w:r>
              <w:rPr>
                <w:rFonts w:ascii="宋体" w:cs="宋体" w:hint="eastAsia"/>
                <w:sz w:val="24"/>
              </w:rPr>
              <w:t>是否满足</w:t>
            </w:r>
          </w:p>
        </w:tc>
      </w:tr>
      <w:tr>
        <w:tc>
          <w:tcPr>
            <w:tcW w:w="698" w:type="dxa"/>
            <w:tcBorders>
              <w:tl2br w:val="nil"/>
              <w:tr2bl w:val="nil"/>
            </w:tcBorders>
          </w:tcPr>
          <w:p>
            <w:pPr>
              <w:pStyle w:val="73"/>
              <w:spacing w:line="560" w:lineRule="exact"/>
              <w:jc w:val="center"/>
              <w:rPr>
                <w:rFonts w:ascii="宋体" w:cs="宋体"/>
                <w:sz w:val="24"/>
              </w:rPr>
            </w:pPr>
            <w:r>
              <w:rPr>
                <w:rFonts w:ascii="宋体" w:cs="宋体" w:hint="eastAsia"/>
                <w:sz w:val="24"/>
              </w:rPr>
              <w:t>1</w:t>
            </w:r>
          </w:p>
        </w:tc>
        <w:tc>
          <w:tcPr>
            <w:tcW w:w="7483" w:type="dxa"/>
            <w:tcBorders>
              <w:tl2br w:val="nil"/>
              <w:tr2bl w:val="nil"/>
            </w:tcBorders>
          </w:tcPr>
          <w:p>
            <w:pPr>
              <w:pStyle w:val="73"/>
              <w:spacing w:line="560" w:lineRule="exact"/>
              <w:rPr>
                <w:rFonts w:ascii="宋体" w:cs="宋体"/>
                <w:sz w:val="24"/>
              </w:rPr>
            </w:pPr>
            <w:r>
              <w:rPr>
                <w:rFonts w:ascii="宋体" w:cs="宋体" w:hint="eastAsia"/>
                <w:sz w:val="24"/>
              </w:rPr>
              <w:t>具有有效的营业执照或事业单位法人或自然人的身份证明</w:t>
            </w:r>
          </w:p>
        </w:tc>
        <w:tc>
          <w:tcPr>
            <w:tcW w:w="1220" w:type="dxa"/>
            <w:tcBorders>
              <w:tl2br w:val="nil"/>
              <w:tr2bl w:val="nil"/>
            </w:tcBorders>
          </w:tcPr>
          <w:p>
            <w:pPr>
              <w:pStyle w:val="73"/>
              <w:spacing w:line="560" w:lineRule="exact"/>
              <w:rPr>
                <w:rFonts w:ascii="宋体" w:cs="宋体"/>
                <w:sz w:val="24"/>
              </w:rPr>
            </w:pPr>
          </w:p>
        </w:tc>
      </w:tr>
      <w:tr>
        <w:tc>
          <w:tcPr>
            <w:tcW w:w="698" w:type="dxa"/>
            <w:tcBorders>
              <w:tl2br w:val="nil"/>
              <w:tr2bl w:val="nil"/>
            </w:tcBorders>
          </w:tcPr>
          <w:p>
            <w:pPr>
              <w:pStyle w:val="73"/>
              <w:spacing w:line="560" w:lineRule="exact"/>
              <w:jc w:val="center"/>
              <w:rPr>
                <w:rFonts w:ascii="宋体" w:cs="宋体"/>
                <w:sz w:val="24"/>
              </w:rPr>
            </w:pPr>
            <w:r>
              <w:rPr>
                <w:rFonts w:ascii="宋体" w:cs="宋体" w:hint="eastAsia"/>
                <w:sz w:val="24"/>
              </w:rPr>
              <w:t>2</w:t>
            </w:r>
          </w:p>
        </w:tc>
        <w:tc>
          <w:tcPr>
            <w:tcW w:w="7483" w:type="dxa"/>
            <w:tcBorders>
              <w:tl2br w:val="nil"/>
              <w:tr2bl w:val="nil"/>
            </w:tcBorders>
          </w:tcPr>
          <w:p>
            <w:pPr>
              <w:pStyle w:val="73"/>
              <w:spacing w:line="560" w:lineRule="exact"/>
              <w:rPr>
                <w:rFonts w:ascii="宋体" w:cs="宋体"/>
                <w:sz w:val="24"/>
              </w:rPr>
            </w:pPr>
            <w:r>
              <w:rPr>
                <w:rFonts w:ascii="宋体" w:cs="宋体" w:hint="eastAsia"/>
                <w:sz w:val="24"/>
              </w:rPr>
              <w:t>具有良好的商业信誉</w:t>
            </w:r>
          </w:p>
        </w:tc>
        <w:tc>
          <w:tcPr>
            <w:tcW w:w="1220" w:type="dxa"/>
            <w:tcBorders>
              <w:tl2br w:val="nil"/>
              <w:tr2bl w:val="nil"/>
            </w:tcBorders>
          </w:tcPr>
          <w:p>
            <w:pPr>
              <w:pStyle w:val="73"/>
              <w:spacing w:line="560" w:lineRule="exact"/>
              <w:rPr>
                <w:rFonts w:ascii="宋体" w:cs="宋体"/>
                <w:sz w:val="24"/>
              </w:rPr>
            </w:pPr>
          </w:p>
        </w:tc>
      </w:tr>
      <w:tr>
        <w:tc>
          <w:tcPr>
            <w:tcW w:w="698" w:type="dxa"/>
            <w:tcBorders>
              <w:tl2br w:val="nil"/>
              <w:tr2bl w:val="nil"/>
            </w:tcBorders>
          </w:tcPr>
          <w:p>
            <w:pPr>
              <w:pStyle w:val="73"/>
              <w:spacing w:line="560" w:lineRule="exact"/>
              <w:jc w:val="center"/>
              <w:rPr>
                <w:rFonts w:ascii="宋体" w:cs="宋体"/>
                <w:sz w:val="24"/>
              </w:rPr>
            </w:pPr>
            <w:r>
              <w:rPr>
                <w:rFonts w:ascii="宋体" w:cs="宋体" w:hint="eastAsia"/>
                <w:sz w:val="24"/>
              </w:rPr>
              <w:t>3</w:t>
            </w:r>
          </w:p>
        </w:tc>
        <w:tc>
          <w:tcPr>
            <w:tcW w:w="7483" w:type="dxa"/>
            <w:tcBorders>
              <w:tl2br w:val="nil"/>
              <w:tr2bl w:val="nil"/>
            </w:tcBorders>
          </w:tcPr>
          <w:p>
            <w:pPr>
              <w:pStyle w:val="73"/>
              <w:spacing w:line="560" w:lineRule="exact"/>
              <w:rPr>
                <w:rFonts w:ascii="宋体" w:cs="宋体"/>
                <w:sz w:val="24"/>
              </w:rPr>
            </w:pPr>
            <w:r>
              <w:rPr>
                <w:rFonts w:ascii="宋体" w:cs="宋体" w:hint="eastAsia"/>
                <w:sz w:val="24"/>
              </w:rPr>
              <w:t>有依法缴纳税收和社会保障金的良好记录</w:t>
            </w:r>
          </w:p>
        </w:tc>
        <w:tc>
          <w:tcPr>
            <w:tcW w:w="1220" w:type="dxa"/>
            <w:tcBorders>
              <w:tl2br w:val="nil"/>
              <w:tr2bl w:val="nil"/>
            </w:tcBorders>
          </w:tcPr>
          <w:p>
            <w:pPr>
              <w:pStyle w:val="73"/>
              <w:spacing w:line="560" w:lineRule="exact"/>
              <w:rPr>
                <w:rFonts w:ascii="宋体" w:cs="宋体"/>
                <w:sz w:val="24"/>
              </w:rPr>
            </w:pPr>
          </w:p>
        </w:tc>
      </w:tr>
      <w:tr>
        <w:tc>
          <w:tcPr>
            <w:tcW w:w="698" w:type="dxa"/>
            <w:tcBorders>
              <w:tl2br w:val="nil"/>
              <w:tr2bl w:val="nil"/>
            </w:tcBorders>
          </w:tcPr>
          <w:p>
            <w:pPr>
              <w:pStyle w:val="73"/>
              <w:spacing w:line="560" w:lineRule="exact"/>
              <w:jc w:val="center"/>
              <w:rPr>
                <w:rFonts w:ascii="宋体" w:cs="宋体"/>
                <w:sz w:val="24"/>
              </w:rPr>
            </w:pPr>
            <w:r>
              <w:rPr>
                <w:rFonts w:ascii="宋体" w:cs="宋体" w:hint="eastAsia"/>
                <w:sz w:val="24"/>
              </w:rPr>
              <w:t>4</w:t>
            </w:r>
          </w:p>
        </w:tc>
        <w:tc>
          <w:tcPr>
            <w:tcW w:w="7483" w:type="dxa"/>
            <w:tcBorders>
              <w:tl2br w:val="nil"/>
              <w:tr2bl w:val="nil"/>
            </w:tcBorders>
          </w:tcPr>
          <w:p>
            <w:pPr>
              <w:pStyle w:val="73"/>
              <w:spacing w:line="560" w:lineRule="exact"/>
              <w:rPr>
                <w:rFonts w:ascii="宋体" w:cs="宋体"/>
                <w:sz w:val="24"/>
              </w:rPr>
            </w:pPr>
            <w:r>
              <w:rPr>
                <w:rFonts w:ascii="宋体" w:cs="宋体" w:hint="eastAsia"/>
                <w:sz w:val="24"/>
              </w:rPr>
              <w:t>具有健全的财务会计制度</w:t>
            </w:r>
          </w:p>
        </w:tc>
        <w:tc>
          <w:tcPr>
            <w:tcW w:w="1220" w:type="dxa"/>
            <w:tcBorders>
              <w:tl2br w:val="nil"/>
              <w:tr2bl w:val="nil"/>
            </w:tcBorders>
          </w:tcPr>
          <w:p>
            <w:pPr>
              <w:pStyle w:val="73"/>
              <w:spacing w:line="560" w:lineRule="exact"/>
              <w:rPr>
                <w:rFonts w:ascii="宋体" w:cs="宋体"/>
                <w:sz w:val="24"/>
              </w:rPr>
            </w:pPr>
          </w:p>
        </w:tc>
      </w:tr>
      <w:tr>
        <w:tc>
          <w:tcPr>
            <w:tcW w:w="698" w:type="dxa"/>
            <w:tcBorders>
              <w:tl2br w:val="nil"/>
              <w:tr2bl w:val="nil"/>
            </w:tcBorders>
          </w:tcPr>
          <w:p>
            <w:pPr>
              <w:pStyle w:val="73"/>
              <w:spacing w:line="560" w:lineRule="exact"/>
              <w:jc w:val="center"/>
              <w:rPr>
                <w:rFonts w:ascii="宋体" w:cs="宋体"/>
                <w:sz w:val="24"/>
              </w:rPr>
            </w:pPr>
            <w:r>
              <w:rPr>
                <w:rFonts w:ascii="宋体" w:cs="宋体" w:hint="eastAsia"/>
                <w:sz w:val="24"/>
              </w:rPr>
              <w:t>5</w:t>
            </w:r>
          </w:p>
        </w:tc>
        <w:tc>
          <w:tcPr>
            <w:tcW w:w="7483" w:type="dxa"/>
            <w:tcBorders>
              <w:tl2br w:val="nil"/>
              <w:tr2bl w:val="nil"/>
            </w:tcBorders>
          </w:tcPr>
          <w:p>
            <w:pPr>
              <w:pStyle w:val="73"/>
              <w:spacing w:line="560" w:lineRule="exact"/>
              <w:rPr>
                <w:rFonts w:ascii="宋体" w:cs="宋体"/>
                <w:sz w:val="24"/>
              </w:rPr>
            </w:pPr>
            <w:r>
              <w:rPr>
                <w:rFonts w:ascii="宋体" w:cs="宋体" w:hint="eastAsia"/>
                <w:sz w:val="24"/>
              </w:rPr>
              <w:t>在参加政府采购活动近三年内，在经营活动中没有重大违法记录</w:t>
            </w:r>
          </w:p>
        </w:tc>
        <w:tc>
          <w:tcPr>
            <w:tcW w:w="1220" w:type="dxa"/>
            <w:tcBorders>
              <w:tl2br w:val="nil"/>
              <w:tr2bl w:val="nil"/>
            </w:tcBorders>
          </w:tcPr>
          <w:p>
            <w:pPr>
              <w:pStyle w:val="73"/>
              <w:spacing w:line="560" w:lineRule="exact"/>
              <w:rPr>
                <w:rFonts w:ascii="宋体" w:cs="宋体"/>
                <w:sz w:val="24"/>
              </w:rPr>
            </w:pPr>
          </w:p>
        </w:tc>
      </w:tr>
      <w:tr>
        <w:tc>
          <w:tcPr>
            <w:tcW w:w="698" w:type="dxa"/>
            <w:tcBorders>
              <w:tl2br w:val="nil"/>
              <w:tr2bl w:val="nil"/>
            </w:tcBorders>
          </w:tcPr>
          <w:p>
            <w:pPr>
              <w:pStyle w:val="73"/>
              <w:spacing w:line="560" w:lineRule="exact"/>
              <w:jc w:val="center"/>
              <w:rPr>
                <w:rFonts w:ascii="宋体" w:cs="宋体"/>
                <w:sz w:val="24"/>
              </w:rPr>
            </w:pPr>
            <w:r>
              <w:rPr>
                <w:rFonts w:ascii="宋体" w:cs="宋体" w:hint="eastAsia"/>
                <w:sz w:val="24"/>
              </w:rPr>
              <w:t>6</w:t>
            </w:r>
          </w:p>
        </w:tc>
        <w:tc>
          <w:tcPr>
            <w:tcW w:w="7483" w:type="dxa"/>
            <w:tcBorders>
              <w:tl2br w:val="nil"/>
              <w:tr2bl w:val="nil"/>
            </w:tcBorders>
          </w:tcPr>
          <w:p>
            <w:pPr>
              <w:pStyle w:val="73"/>
              <w:spacing w:line="560" w:lineRule="exact"/>
              <w:rPr>
                <w:rFonts w:ascii="宋体" w:cs="宋体"/>
                <w:sz w:val="24"/>
              </w:rPr>
            </w:pPr>
            <w:r>
              <w:rPr>
                <w:rFonts w:ascii="宋体" w:cs="宋体" w:hint="eastAsia"/>
                <w:sz w:val="24"/>
              </w:rPr>
              <w:t>具备法律、行政法规规定的其他条件</w:t>
            </w:r>
          </w:p>
        </w:tc>
        <w:tc>
          <w:tcPr>
            <w:tcW w:w="1220" w:type="dxa"/>
            <w:tcBorders>
              <w:tl2br w:val="nil"/>
              <w:tr2bl w:val="nil"/>
            </w:tcBorders>
          </w:tcPr>
          <w:p>
            <w:pPr>
              <w:pStyle w:val="73"/>
              <w:spacing w:line="560" w:lineRule="exact"/>
              <w:rPr>
                <w:rFonts w:ascii="宋体" w:cs="宋体"/>
                <w:sz w:val="24"/>
              </w:rPr>
            </w:pPr>
          </w:p>
        </w:tc>
      </w:tr>
    </w:tbl>
    <w:p>
      <w:pPr>
        <w:pStyle w:val="73"/>
        <w:spacing w:line="560" w:lineRule="exact"/>
        <w:ind w:firstLineChars="650" w:firstLine="1560"/>
        <w:rPr>
          <w:rFonts w:ascii="宋体" w:cs="宋体"/>
          <w:sz w:val="24"/>
        </w:rPr>
      </w:pPr>
      <w:r>
        <w:rPr>
          <w:rFonts w:ascii="宋体" w:cs="宋体" w:hint="eastAsia"/>
          <w:sz w:val="24"/>
        </w:rPr>
        <w:t>供应商名称（盖章）：</w:t>
      </w:r>
    </w:p>
    <w:p>
      <w:pPr>
        <w:pStyle w:val="73"/>
        <w:spacing w:line="560" w:lineRule="exact"/>
        <w:ind w:firstLineChars="1300" w:firstLine="3120"/>
        <w:rPr>
          <w:rFonts w:ascii="宋体" w:cs="宋体"/>
          <w:sz w:val="24"/>
        </w:rPr>
      </w:pPr>
      <w:r>
        <w:rPr>
          <w:rFonts w:ascii="宋体" w:cs="宋体" w:hint="eastAsia"/>
          <w:sz w:val="24"/>
        </w:rPr>
        <w:t>日期：</w:t>
      </w:r>
    </w:p>
    <w:p>
      <w:pPr>
        <w:pStyle w:val="73"/>
        <w:spacing w:line="560" w:lineRule="exact"/>
        <w:rPr>
          <w:rFonts w:ascii="宋体" w:cs="宋体"/>
          <w:sz w:val="24"/>
        </w:rPr>
      </w:pPr>
      <w:r>
        <w:rPr>
          <w:rFonts w:ascii="宋体" w:cs="宋体" w:hint="eastAsia"/>
          <w:sz w:val="24"/>
        </w:rPr>
        <w:t>注：供应商在提交响应文件时，应按要求提交此表，无此表或对此表作实质性修改，响应无效。</w:t>
      </w:r>
    </w:p>
    <w:p>
      <w:pPr>
        <w:pStyle w:val="73"/>
        <w:spacing w:line="360" w:lineRule="auto"/>
        <w:jc w:val="center"/>
        <w:rPr>
          <w:rFonts w:ascii="宋体" w:cs="宋体"/>
          <w:sz w:val="24"/>
        </w:rPr>
      </w:pPr>
    </w:p>
    <w:p>
      <w:pPr>
        <w:pStyle w:val="73"/>
        <w:tabs>
          <w:tab w:val="left" w:pos="6300"/>
        </w:tabs>
        <w:adjustRightInd w:val="0"/>
        <w:snapToGrid w:val="0"/>
        <w:spacing w:line="560" w:lineRule="exact"/>
        <w:jc w:val="right"/>
        <w:rPr>
          <w:rFonts w:ascii="宋体" w:cs="宋体"/>
          <w:sz w:val="24"/>
        </w:rPr>
      </w:pPr>
      <w:r>
        <w:rPr>
          <w:rFonts w:ascii="宋体" w:cs="宋体" w:hint="eastAsia"/>
          <w:sz w:val="24"/>
        </w:rPr>
        <w:t>年   月   日</w:t>
      </w: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widowControl/>
        <w:jc w:val="left"/>
        <w:rPr>
          <w:rFonts w:ascii="宋体" w:cs="宋体"/>
          <w:color w:val="000000"/>
          <w:sz w:val="24"/>
        </w:rPr>
      </w:pPr>
    </w:p>
    <w:p>
      <w:pPr>
        <w:spacing w:line="360" w:lineRule="auto"/>
        <w:rPr>
          <w:rFonts w:ascii="宋体" w:cs="宋体"/>
          <w:color w:val="000000"/>
          <w:sz w:val="24"/>
        </w:rPr>
      </w:pPr>
      <w:r>
        <w:rPr>
          <w:rFonts w:ascii="宋体" w:cs="宋体" w:hint="eastAsia"/>
          <w:color w:val="000000"/>
          <w:sz w:val="24"/>
        </w:rPr>
        <w:t>五、报价一览表</w:t>
      </w:r>
    </w:p>
    <w:p>
      <w:pPr>
        <w:rPr>
          <w:rFonts w:ascii="宋体" w:cs="宋体"/>
          <w:color w:val="000000"/>
          <w:sz w:val="24"/>
        </w:rPr>
      </w:pPr>
    </w:p>
    <w:p>
      <w:pPr>
        <w:spacing w:line="560" w:lineRule="exact"/>
        <w:rPr>
          <w:rFonts w:ascii="宋体" w:cs="宋体"/>
          <w:color w:val="000000"/>
          <w:sz w:val="24"/>
          <w14:textFill>
            <w14:solidFill>
              <w14:srgbClr w14:val="000000"/>
            </w14:solidFill>
          </w14:textFill>
        </w:rPr>
      </w:pPr>
      <w:r>
        <w:rPr>
          <w:rFonts w:ascii="宋体" w:cs="宋体" w:hint="eastAsia"/>
          <w:color w:val="000000"/>
          <w:sz w:val="24"/>
          <w14:textFill>
            <w14:solidFill>
              <w14:srgbClr w14:val="000000"/>
            </w14:solidFill>
          </w14:textFill>
        </w:rPr>
        <w:t>项目名称：</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88"/>
        <w:gridCol w:w="1864"/>
        <w:gridCol w:w="2901"/>
        <w:gridCol w:w="2550"/>
      </w:tblGrid>
      <w:tr>
        <w:trPr>
          <w:cantSplit/>
          <w:trHeight w:val="800"/>
        </w:trPr>
        <w:tc>
          <w:tcPr>
            <w:tcW w:w="1788" w:type="dxa"/>
            <w:vAlign w:val="center"/>
          </w:tcPr>
          <w:p>
            <w:pPr>
              <w:spacing w:line="560" w:lineRule="exact"/>
              <w:rPr>
                <w:rFonts w:ascii="宋体" w:cs="宋体"/>
                <w:color w:val="000000"/>
                <w:sz w:val="24"/>
                <w14:textFill>
                  <w14:solidFill>
                    <w14:srgbClr w14:val="000000"/>
                  </w14:solidFill>
                </w14:textFill>
              </w:rPr>
            </w:pPr>
            <w:r>
              <w:rPr>
                <w:rFonts w:ascii="宋体" w:cs="宋体" w:hint="eastAsia"/>
                <w:color w:val="000000"/>
                <w:sz w:val="24"/>
                <w14:textFill>
                  <w14:solidFill>
                    <w14:srgbClr w14:val="000000"/>
                  </w14:solidFill>
                </w14:textFill>
              </w:rPr>
              <w:t>供应商名称</w:t>
            </w:r>
          </w:p>
        </w:tc>
        <w:tc>
          <w:tcPr>
            <w:tcW w:w="7315" w:type="dxa"/>
            <w:gridSpan w:val="3"/>
            <w:vAlign w:val="center"/>
          </w:tcPr>
          <w:p>
            <w:pPr>
              <w:spacing w:line="560" w:lineRule="exact"/>
              <w:ind w:firstLineChars="200" w:firstLine="480"/>
              <w:rPr>
                <w:rFonts w:ascii="宋体" w:cs="宋体"/>
                <w:color w:val="000000"/>
                <w:sz w:val="24"/>
                <w14:textFill>
                  <w14:solidFill>
                    <w14:srgbClr w14:val="000000"/>
                  </w14:solidFill>
                </w14:textFill>
              </w:rPr>
            </w:pPr>
          </w:p>
        </w:tc>
      </w:tr>
      <w:tr>
        <w:trPr>
          <w:cantSplit/>
          <w:trHeight w:val="1011"/>
        </w:trPr>
        <w:tc>
          <w:tcPr>
            <w:tcW w:w="3652" w:type="dxa"/>
            <w:gridSpan w:val="2"/>
            <w:vAlign w:val="center"/>
          </w:tcPr>
          <w:p>
            <w:pPr>
              <w:spacing w:line="560" w:lineRule="exact"/>
              <w:ind w:firstLineChars="500" w:firstLine="1200"/>
              <w:rPr>
                <w:rFonts w:ascii="宋体" w:cs="宋体"/>
                <w:color w:val="000000"/>
                <w:sz w:val="24"/>
                <w14:textFill>
                  <w14:solidFill>
                    <w14:srgbClr w14:val="000000"/>
                  </w14:solidFill>
                </w14:textFill>
              </w:rPr>
            </w:pPr>
            <w:r>
              <w:rPr>
                <w:rFonts w:ascii="宋体" w:cs="宋体" w:hint="eastAsia"/>
                <w:color w:val="000000"/>
                <w:sz w:val="24"/>
                <w14:textFill>
                  <w14:solidFill>
                    <w14:srgbClr w14:val="000000"/>
                  </w14:solidFill>
                </w14:textFill>
              </w:rPr>
              <w:t>项目名称</w:t>
            </w:r>
          </w:p>
        </w:tc>
        <w:tc>
          <w:tcPr>
            <w:tcW w:w="2901" w:type="dxa"/>
            <w:vAlign w:val="center"/>
          </w:tcPr>
          <w:p>
            <w:pPr>
              <w:rPr>
                <w:rFonts w:ascii="宋体" w:cs="宋体"/>
                <w:sz w:val="24"/>
              </w:rPr>
            </w:pPr>
          </w:p>
          <w:p>
            <w:pPr>
              <w:ind w:firstLineChars="400" w:firstLine="960"/>
              <w:rPr>
                <w:rFonts w:ascii="宋体" w:cs="宋体"/>
                <w:sz w:val="24"/>
              </w:rPr>
            </w:pPr>
            <w:r>
              <w:rPr>
                <w:rFonts w:ascii="宋体" w:cs="宋体" w:hint="eastAsia"/>
                <w:sz w:val="24"/>
              </w:rPr>
              <w:t>投标总价</w:t>
            </w:r>
          </w:p>
          <w:p>
            <w:pPr>
              <w:widowControl/>
              <w:ind w:firstLineChars="400" w:firstLine="960"/>
              <w:jc w:val="left"/>
            </w:pPr>
            <w:r>
              <w:rPr>
                <w:rFonts w:ascii="宋体" w:hint="eastAsia"/>
                <w:sz w:val="24"/>
              </w:rPr>
              <w:t>（元）</w:t>
            </w:r>
          </w:p>
          <w:p>
            <w:pPr>
              <w:spacing w:line="560" w:lineRule="exact"/>
              <w:rPr>
                <w:rFonts w:ascii="宋体" w:cs="宋体"/>
                <w:color w:val="000000"/>
                <w:sz w:val="24"/>
                <w14:textFill>
                  <w14:solidFill>
                    <w14:srgbClr w14:val="000000"/>
                  </w14:solidFill>
                </w14:textFill>
              </w:rPr>
            </w:pPr>
          </w:p>
        </w:tc>
        <w:tc>
          <w:tcPr>
            <w:tcW w:w="2550" w:type="dxa"/>
            <w:vAlign w:val="center"/>
          </w:tcPr>
          <w:p>
            <w:pPr>
              <w:spacing w:line="560" w:lineRule="exact"/>
              <w:jc w:val="center"/>
              <w:rPr>
                <w:rFonts w:ascii="宋体" w:cs="宋体"/>
                <w:color w:val="000000"/>
                <w:sz w:val="24"/>
                <w14:textFill>
                  <w14:solidFill>
                    <w14:srgbClr w14:val="000000"/>
                  </w14:solidFill>
                </w14:textFill>
              </w:rPr>
            </w:pPr>
            <w:r>
              <w:rPr>
                <w:rFonts w:ascii="宋体" w:cs="宋体" w:hint="eastAsia"/>
                <w:color w:val="000000"/>
                <w:sz w:val="24"/>
                <w14:textFill>
                  <w14:solidFill>
                    <w14:srgbClr w14:val="000000"/>
                  </w14:solidFill>
                </w14:textFill>
                <w:highlight w:val="auto"/>
              </w:rPr>
              <w:t>投标品牌</w:t>
            </w:r>
          </w:p>
        </w:tc>
      </w:tr>
      <w:tr>
        <w:trPr>
          <w:cantSplit/>
          <w:trHeight w:val="810"/>
        </w:trPr>
        <w:tc>
          <w:tcPr>
            <w:tcW w:w="3652" w:type="dxa"/>
            <w:gridSpan w:val="2"/>
            <w:tcBorders>
              <w:bottom w:val="single" w:sz="4" w:space="0" w:color="auto"/>
            </w:tcBorders>
            <w:vAlign w:val="center"/>
          </w:tcPr>
          <w:p>
            <w:pPr>
              <w:spacing w:line="560" w:lineRule="exact"/>
              <w:ind w:firstLineChars="200" w:firstLine="480"/>
              <w:rPr>
                <w:rFonts w:ascii="宋体" w:cs="宋体"/>
                <w:color w:val="000000"/>
                <w:sz w:val="24"/>
                <w14:textFill>
                  <w14:solidFill>
                    <w14:srgbClr w14:val="000000"/>
                  </w14:solidFill>
                </w14:textFill>
              </w:rPr>
            </w:pPr>
          </w:p>
        </w:tc>
        <w:tc>
          <w:tcPr>
            <w:tcW w:w="2901" w:type="dxa"/>
            <w:tcBorders>
              <w:bottom w:val="single" w:sz="4" w:space="0" w:color="auto"/>
            </w:tcBorders>
          </w:tcPr>
          <w:p>
            <w:pPr>
              <w:spacing w:line="560" w:lineRule="exact"/>
              <w:ind w:firstLineChars="200" w:firstLine="480"/>
              <w:rPr>
                <w:rFonts w:ascii="宋体" w:cs="宋体"/>
                <w:color w:val="000000"/>
                <w:sz w:val="24"/>
                <w14:textFill>
                  <w14:solidFill>
                    <w14:srgbClr w14:val="000000"/>
                  </w14:solidFill>
                </w14:textFill>
              </w:rPr>
            </w:pPr>
          </w:p>
        </w:tc>
        <w:tc>
          <w:tcPr>
            <w:tcW w:w="2550" w:type="dxa"/>
            <w:tcBorders>
              <w:bottom w:val="single" w:sz="4" w:space="0" w:color="auto"/>
            </w:tcBorders>
          </w:tcPr>
          <w:p>
            <w:pPr>
              <w:spacing w:line="560" w:lineRule="exact"/>
              <w:ind w:firstLineChars="200" w:firstLine="480"/>
              <w:rPr>
                <w:rFonts w:ascii="宋体" w:cs="宋体"/>
                <w:color w:val="000000"/>
                <w:sz w:val="24"/>
                <w14:textFill>
                  <w14:solidFill>
                    <w14:srgbClr w14:val="000000"/>
                  </w14:solidFill>
                </w14:textFill>
              </w:rPr>
            </w:pPr>
          </w:p>
        </w:tc>
      </w:tr>
      <w:tr>
        <w:trPr>
          <w:cantSplit/>
          <w:trHeight w:val="738"/>
        </w:trPr>
        <w:tc>
          <w:tcPr>
            <w:tcW w:w="9103" w:type="dxa"/>
            <w:gridSpan w:val="4"/>
            <w:tcBorders>
              <w:bottom w:val="single" w:sz="4" w:space="0" w:color="auto"/>
            </w:tcBorders>
            <w:vAlign w:val="center"/>
          </w:tcPr>
          <w:p>
            <w:pPr>
              <w:spacing w:line="560" w:lineRule="exact"/>
              <w:ind w:firstLineChars="200" w:firstLine="480"/>
              <w:rPr>
                <w:rFonts w:ascii="宋体" w:cs="宋体"/>
                <w:color w:val="000000"/>
                <w:sz w:val="24"/>
                <w14:textFill>
                  <w14:solidFill>
                    <w14:srgbClr w14:val="000000"/>
                  </w14:solidFill>
                </w14:textFill>
              </w:rPr>
            </w:pPr>
            <w:r>
              <w:rPr>
                <w:rFonts w:ascii="宋体" w:cs="宋体" w:hint="eastAsia"/>
                <w:color w:val="000000"/>
                <w:sz w:val="24"/>
                <w14:textFill>
                  <w14:solidFill>
                    <w14:srgbClr w14:val="000000"/>
                  </w14:solidFill>
                </w14:textFill>
              </w:rPr>
              <w:t>报价（大写）：</w:t>
            </w:r>
          </w:p>
        </w:tc>
      </w:tr>
    </w:tbl>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cs="宋体"/>
          <w:sz w:val="24"/>
        </w:rPr>
      </w:pPr>
      <w:r>
        <w:rPr>
          <w:rFonts w:ascii="宋体" w:cs="宋体" w:hint="eastAsia"/>
          <w:sz w:val="24"/>
        </w:rPr>
        <w:t>注：</w:t>
      </w:r>
    </w:p>
    <w:p>
      <w:pPr>
        <w:autoSpaceDE w:val="0"/>
        <w:autoSpaceDN w:val="0"/>
        <w:adjustRightInd w:val="0"/>
        <w:snapToGrid w:val="0"/>
        <w:spacing w:line="360" w:lineRule="auto"/>
        <w:ind w:left="360" w:hangingChars="150" w:hanging="360"/>
        <w:rPr>
          <w:rFonts w:ascii="宋体" w:cs="宋体"/>
          <w:sz w:val="24"/>
        </w:rPr>
      </w:pPr>
      <w:r>
        <w:rPr>
          <w:rFonts w:ascii="宋体" w:cs="宋体" w:hint="eastAsia"/>
          <w:sz w:val="24"/>
        </w:rPr>
        <w:t>1．不得填报有选择性报价方案；</w:t>
      </w:r>
    </w:p>
    <w:p>
      <w:pPr>
        <w:adjustRightInd w:val="0"/>
        <w:snapToGrid w:val="0"/>
        <w:spacing w:line="360" w:lineRule="auto"/>
        <w:rPr>
          <w:rFonts w:ascii="宋体" w:cs="宋体"/>
          <w:sz w:val="24"/>
        </w:rPr>
      </w:pPr>
      <w:r>
        <w:rPr>
          <w:rFonts w:ascii="宋体" w:cs="宋体" w:hint="eastAsia"/>
          <w:sz w:val="24"/>
        </w:rPr>
        <w:t>2.以上报价币种均为人民币。</w:t>
      </w:r>
    </w:p>
    <w:p>
      <w:pPr>
        <w:adjustRightInd w:val="0"/>
        <w:snapToGrid w:val="0"/>
        <w:spacing w:line="360" w:lineRule="auto"/>
        <w:rPr>
          <w:rFonts w:ascii="宋体" w:cs="宋体"/>
          <w:sz w:val="24"/>
        </w:rPr>
      </w:pPr>
    </w:p>
    <w:p>
      <w:pPr>
        <w:adjustRightInd w:val="0"/>
        <w:snapToGrid w:val="0"/>
        <w:spacing w:line="360" w:lineRule="auto"/>
        <w:rPr>
          <w:rFonts w:ascii="宋体" w:cs="宋体"/>
          <w:sz w:val="24"/>
        </w:rPr>
      </w:pPr>
      <w:r>
        <w:rPr>
          <w:rFonts w:ascii="宋体" w:cs="宋体" w:hint="eastAsia"/>
          <w:sz w:val="24"/>
        </w:rPr>
        <w:t>供应商名称：</w:t>
      </w:r>
      <w:r>
        <w:rPr>
          <w:rFonts w:ascii="宋体" w:cs="宋体" w:hint="eastAsia"/>
          <w:sz w:val="24"/>
          <w:u w:val="single"/>
        </w:rPr>
        <w:t xml:space="preserve">                                                              </w:t>
      </w:r>
      <w:r>
        <w:rPr>
          <w:rFonts w:ascii="宋体" w:cs="宋体" w:hint="eastAsia"/>
          <w:sz w:val="24"/>
        </w:rPr>
        <w:t>（公章）</w:t>
      </w:r>
    </w:p>
    <w:p>
      <w:pPr>
        <w:adjustRightInd w:val="0"/>
        <w:snapToGrid w:val="0"/>
        <w:spacing w:line="360" w:lineRule="auto"/>
        <w:rPr>
          <w:rFonts w:ascii="宋体" w:cs="宋体"/>
          <w:sz w:val="24"/>
        </w:rPr>
      </w:pPr>
      <w:r>
        <w:rPr>
          <w:rFonts w:ascii="宋体" w:cs="宋体" w:hint="eastAsia"/>
          <w:bCs/>
          <w:sz w:val="24"/>
        </w:rPr>
        <w:t>法定代表人或授权委托人：</w:t>
      </w:r>
      <w:r>
        <w:rPr>
          <w:rFonts w:ascii="宋体" w:cs="宋体" w:hint="eastAsia"/>
          <w:sz w:val="24"/>
          <w:u w:val="single"/>
        </w:rPr>
        <w:t xml:space="preserve">                     </w:t>
      </w:r>
      <w:r>
        <w:rPr>
          <w:rFonts w:ascii="宋体" w:cs="宋体" w:hint="eastAsia"/>
          <w:sz w:val="24"/>
        </w:rPr>
        <w:t>（签名）</w:t>
      </w:r>
    </w:p>
    <w:p>
      <w:pPr>
        <w:adjustRightInd w:val="0"/>
        <w:snapToGrid w:val="0"/>
        <w:spacing w:line="360" w:lineRule="auto"/>
        <w:rPr>
          <w:rFonts w:ascii="宋体" w:cs="宋体"/>
          <w:sz w:val="24"/>
        </w:rPr>
      </w:pPr>
      <w:r>
        <w:rPr>
          <w:rFonts w:ascii="宋体" w:cs="宋体" w:hint="eastAsia"/>
          <w:sz w:val="24"/>
        </w:rPr>
        <w:t>日期：2026年</w:t>
      </w:r>
      <w:r>
        <w:rPr>
          <w:rFonts w:ascii="宋体" w:cs="宋体" w:hint="eastAsia"/>
          <w:sz w:val="24"/>
          <w:u w:val="single"/>
        </w:rPr>
        <w:t xml:space="preserve">   </w:t>
      </w:r>
      <w:r>
        <w:rPr>
          <w:rFonts w:ascii="宋体" w:cs="宋体" w:hint="eastAsia"/>
          <w:sz w:val="24"/>
        </w:rPr>
        <w:t>月</w:t>
      </w:r>
      <w:r>
        <w:rPr>
          <w:rFonts w:ascii="宋体" w:cs="宋体" w:hint="eastAsia"/>
          <w:sz w:val="24"/>
          <w:u w:val="single"/>
        </w:rPr>
        <w:t xml:space="preserve">   </w:t>
      </w:r>
      <w:r>
        <w:rPr>
          <w:rFonts w:ascii="宋体" w:cs="宋体" w:hint="eastAsia"/>
          <w:sz w:val="24"/>
        </w:rPr>
        <w:t>日</w:t>
      </w:r>
    </w:p>
    <w:p>
      <w:pPr>
        <w:spacing w:line="560" w:lineRule="exact"/>
        <w:ind w:firstLineChars="200" w:firstLine="480"/>
        <w:rPr>
          <w:rFonts w:ascii="宋体" w:cs="宋体"/>
          <w:color w:val="000000"/>
          <w:sz w:val="24"/>
          <w14:textFill>
            <w14:solidFill>
              <w14:srgbClr w14:val="000000"/>
            </w14:solidFill>
          </w14:textFill>
        </w:rPr>
      </w:pPr>
    </w:p>
    <w:p>
      <w:pPr>
        <w:spacing w:line="560" w:lineRule="exact"/>
        <w:ind w:firstLineChars="200" w:firstLine="480"/>
        <w:rPr>
          <w:rFonts w:ascii="宋体" w:cs="宋体"/>
          <w:color w:val="000000"/>
          <w:sz w:val="24"/>
          <w14:textFill>
            <w14:solidFill>
              <w14:srgbClr w14:val="000000"/>
            </w14:solidFill>
          </w14:textFill>
        </w:rPr>
      </w:pPr>
    </w:p>
    <w:p>
      <w:pPr>
        <w:spacing w:line="560" w:lineRule="exact"/>
        <w:rPr>
          <w:rFonts w:ascii="宋体" w:cs="宋体"/>
          <w:color w:val="000000"/>
          <w:sz w:val="24"/>
          <w14:textFill>
            <w14:solidFill>
              <w14:srgbClr w14:val="000000"/>
            </w14:solidFill>
          </w14:textFill>
        </w:rPr>
      </w:pPr>
    </w:p>
    <w:p>
      <w:pPr>
        <w:spacing w:line="360" w:lineRule="auto"/>
        <w:ind w:firstLineChars="200" w:firstLine="480"/>
        <w:jc w:val="right"/>
        <w:rPr>
          <w:rFonts w:ascii="宋体" w:cs="宋体"/>
          <w:color w:val="000000"/>
          <w:sz w:val="24"/>
        </w:rPr>
      </w:pPr>
    </w:p>
    <w:p>
      <w:pPr>
        <w:tabs>
          <w:tab w:val="left" w:pos="6300"/>
        </w:tabs>
        <w:snapToGrid w:val="0"/>
        <w:spacing w:line="360" w:lineRule="auto"/>
        <w:ind w:firstLine="570"/>
        <w:rPr>
          <w:rFonts w:ascii="宋体" w:cs="宋体"/>
          <w:color w:val="000000"/>
          <w:sz w:val="24"/>
        </w:rPr>
      </w:pPr>
      <w:r>
        <w:rPr>
          <w:rFonts w:ascii="宋体" w:cs="宋体" w:hint="eastAsia"/>
          <w:color w:val="000000"/>
          <w:sz w:val="24"/>
        </w:rPr>
        <w:br w:type="page"/>
      </w:r>
    </w:p>
    <w:p>
      <w:pPr>
        <w:spacing w:line="360" w:lineRule="auto"/>
        <w:rPr>
          <w:rFonts w:ascii="宋体" w:cs="宋体"/>
          <w:b/>
          <w:color w:val="000000"/>
          <w:sz w:val="24"/>
        </w:rPr>
      </w:pPr>
    </w:p>
    <w:p>
      <w:pPr>
        <w:spacing w:line="360" w:lineRule="auto"/>
        <w:jc w:val="left"/>
        <w:rPr>
          <w:rFonts w:ascii="宋体" w:cs="宋体"/>
          <w:color w:val="000000"/>
          <w:sz w:val="24"/>
        </w:rPr>
      </w:pPr>
      <w:r>
        <w:rPr>
          <w:rFonts w:ascii="宋体" w:cs="宋体" w:hint="eastAsia"/>
          <w:color w:val="000000"/>
          <w:sz w:val="24"/>
        </w:rPr>
        <w:t>六、商务及技术指标响应一览表</w:t>
      </w:r>
    </w:p>
    <w:p>
      <w:pPr>
        <w:spacing w:line="360" w:lineRule="auto"/>
        <w:jc w:val="left"/>
        <w:rPr>
          <w:rFonts w:ascii="宋体" w:cs="宋体"/>
          <w:color w:val="000000"/>
          <w:sz w:val="24"/>
        </w:rPr>
      </w:pPr>
    </w:p>
    <w:p>
      <w:pPr>
        <w:spacing w:line="360" w:lineRule="auto"/>
        <w:jc w:val="left"/>
        <w:rPr>
          <w:rFonts w:ascii="宋体" w:cs="宋体"/>
          <w:color w:val="000000"/>
          <w:sz w:val="24"/>
        </w:rPr>
      </w:pPr>
      <w:r>
        <w:rPr>
          <w:rFonts w:ascii="宋体" w:cs="宋体" w:hint="eastAsia"/>
          <w:color w:val="000000"/>
          <w:sz w:val="24"/>
        </w:rPr>
        <w:t>项目名称：</w:t>
      </w:r>
    </w:p>
    <w:tbl>
      <w:tblPr>
        <w:jc w:val="left"/>
        <w:tblInd w:w="0" w:type="dxa"/>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48"/>
        <w:gridCol w:w="1948"/>
        <w:gridCol w:w="1948"/>
        <w:gridCol w:w="1817"/>
        <w:gridCol w:w="2317"/>
      </w:tblGrid>
      <w:tr>
        <w:tc>
          <w:tcPr>
            <w:tcW w:w="1948" w:type="dxa"/>
          </w:tcPr>
          <w:p>
            <w:pPr>
              <w:spacing w:line="360" w:lineRule="auto"/>
              <w:jc w:val="center"/>
              <w:rPr>
                <w:rFonts w:ascii="宋体" w:cs="宋体"/>
                <w:color w:val="000000"/>
                <w:sz w:val="24"/>
              </w:rPr>
            </w:pPr>
            <w:r>
              <w:rPr>
                <w:rFonts w:ascii="宋体" w:cs="宋体" w:hint="eastAsia"/>
                <w:color w:val="000000"/>
                <w:sz w:val="24"/>
              </w:rPr>
              <w:t>序号</w:t>
            </w:r>
          </w:p>
        </w:tc>
        <w:tc>
          <w:tcPr>
            <w:tcW w:w="1948" w:type="dxa"/>
          </w:tcPr>
          <w:p>
            <w:pPr>
              <w:spacing w:line="360" w:lineRule="auto"/>
              <w:ind w:firstLineChars="100" w:firstLine="240"/>
              <w:rPr>
                <w:rFonts w:ascii="宋体" w:cs="宋体"/>
                <w:color w:val="000000"/>
                <w:sz w:val="24"/>
              </w:rPr>
            </w:pPr>
            <w:r>
              <w:rPr>
                <w:rFonts w:ascii="宋体" w:cs="宋体" w:hint="eastAsia"/>
                <w:color w:val="000000"/>
                <w:sz w:val="24"/>
              </w:rPr>
              <w:t>招标要求</w:t>
            </w:r>
          </w:p>
        </w:tc>
        <w:tc>
          <w:tcPr>
            <w:tcW w:w="1948" w:type="dxa"/>
          </w:tcPr>
          <w:p>
            <w:pPr>
              <w:spacing w:line="360" w:lineRule="auto"/>
              <w:jc w:val="center"/>
              <w:rPr>
                <w:rFonts w:ascii="宋体" w:cs="宋体"/>
                <w:color w:val="000000"/>
                <w:sz w:val="24"/>
              </w:rPr>
            </w:pPr>
            <w:r>
              <w:rPr>
                <w:rFonts w:ascii="宋体" w:cs="宋体" w:hint="eastAsia"/>
                <w:color w:val="000000"/>
                <w:sz w:val="24"/>
              </w:rPr>
              <w:t>投标响应</w:t>
            </w:r>
          </w:p>
        </w:tc>
        <w:tc>
          <w:tcPr>
            <w:tcW w:w="1817" w:type="dxa"/>
          </w:tcPr>
          <w:p>
            <w:pPr>
              <w:spacing w:line="360" w:lineRule="auto"/>
              <w:jc w:val="center"/>
              <w:rPr>
                <w:rFonts w:ascii="宋体" w:cs="宋体"/>
                <w:color w:val="000000"/>
                <w:sz w:val="24"/>
              </w:rPr>
            </w:pPr>
            <w:r>
              <w:rPr>
                <w:rFonts w:ascii="宋体" w:cs="宋体" w:hint="eastAsia"/>
                <w:color w:val="000000"/>
                <w:sz w:val="24"/>
              </w:rPr>
              <w:t>是否偏离</w:t>
            </w:r>
          </w:p>
        </w:tc>
        <w:tc>
          <w:tcPr>
            <w:tcW w:w="2317" w:type="dxa"/>
          </w:tcPr>
          <w:p>
            <w:pPr>
              <w:spacing w:line="360" w:lineRule="auto"/>
              <w:jc w:val="center"/>
              <w:rPr>
                <w:rFonts w:ascii="宋体" w:cs="宋体"/>
                <w:color w:val="000000"/>
                <w:sz w:val="24"/>
              </w:rPr>
            </w:pPr>
            <w:r>
              <w:rPr>
                <w:rFonts w:ascii="宋体" w:cs="宋体" w:hint="eastAsia"/>
                <w:color w:val="000000"/>
                <w:sz w:val="24"/>
              </w:rPr>
              <w:t>偏离原因/对应页码</w:t>
            </w:r>
          </w:p>
        </w:tc>
      </w:tr>
      <w:tr>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817" w:type="dxa"/>
          </w:tcPr>
          <w:p>
            <w:pPr>
              <w:spacing w:line="360" w:lineRule="auto"/>
              <w:jc w:val="center"/>
              <w:rPr>
                <w:rFonts w:ascii="宋体" w:cs="宋体"/>
                <w:color w:val="000000"/>
                <w:sz w:val="24"/>
              </w:rPr>
            </w:pPr>
          </w:p>
        </w:tc>
        <w:tc>
          <w:tcPr>
            <w:tcW w:w="2317" w:type="dxa"/>
          </w:tcPr>
          <w:p>
            <w:pPr>
              <w:spacing w:line="360" w:lineRule="auto"/>
              <w:jc w:val="center"/>
              <w:rPr>
                <w:rFonts w:ascii="宋体" w:cs="宋体"/>
                <w:color w:val="000000"/>
                <w:sz w:val="24"/>
              </w:rPr>
            </w:pPr>
          </w:p>
        </w:tc>
      </w:tr>
      <w:tr>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817" w:type="dxa"/>
          </w:tcPr>
          <w:p>
            <w:pPr>
              <w:spacing w:line="360" w:lineRule="auto"/>
              <w:jc w:val="center"/>
              <w:rPr>
                <w:rFonts w:ascii="宋体" w:cs="宋体"/>
                <w:color w:val="000000"/>
                <w:sz w:val="24"/>
              </w:rPr>
            </w:pPr>
          </w:p>
        </w:tc>
        <w:tc>
          <w:tcPr>
            <w:tcW w:w="2317" w:type="dxa"/>
          </w:tcPr>
          <w:p>
            <w:pPr>
              <w:spacing w:line="360" w:lineRule="auto"/>
              <w:jc w:val="center"/>
              <w:rPr>
                <w:rFonts w:ascii="宋体" w:cs="宋体"/>
                <w:color w:val="000000"/>
                <w:sz w:val="24"/>
              </w:rPr>
            </w:pPr>
          </w:p>
        </w:tc>
      </w:tr>
      <w:tr>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817" w:type="dxa"/>
          </w:tcPr>
          <w:p>
            <w:pPr>
              <w:spacing w:line="360" w:lineRule="auto"/>
              <w:jc w:val="center"/>
              <w:rPr>
                <w:rFonts w:ascii="宋体" w:cs="宋体"/>
                <w:color w:val="000000"/>
                <w:sz w:val="24"/>
              </w:rPr>
            </w:pPr>
          </w:p>
        </w:tc>
        <w:tc>
          <w:tcPr>
            <w:tcW w:w="2317" w:type="dxa"/>
          </w:tcPr>
          <w:p>
            <w:pPr>
              <w:spacing w:line="360" w:lineRule="auto"/>
              <w:jc w:val="center"/>
              <w:rPr>
                <w:rFonts w:ascii="宋体" w:cs="宋体"/>
                <w:color w:val="000000"/>
                <w:sz w:val="24"/>
              </w:rPr>
            </w:pPr>
          </w:p>
        </w:tc>
      </w:tr>
      <w:tr>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817" w:type="dxa"/>
          </w:tcPr>
          <w:p>
            <w:pPr>
              <w:spacing w:line="360" w:lineRule="auto"/>
              <w:jc w:val="center"/>
              <w:rPr>
                <w:rFonts w:ascii="宋体" w:cs="宋体"/>
                <w:color w:val="000000"/>
                <w:sz w:val="24"/>
              </w:rPr>
            </w:pPr>
          </w:p>
        </w:tc>
        <w:tc>
          <w:tcPr>
            <w:tcW w:w="2317" w:type="dxa"/>
          </w:tcPr>
          <w:p>
            <w:pPr>
              <w:spacing w:line="360" w:lineRule="auto"/>
              <w:jc w:val="center"/>
              <w:rPr>
                <w:rFonts w:ascii="宋体" w:cs="宋体"/>
                <w:color w:val="000000"/>
                <w:sz w:val="24"/>
              </w:rPr>
            </w:pPr>
          </w:p>
        </w:tc>
      </w:tr>
      <w:tr>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817" w:type="dxa"/>
          </w:tcPr>
          <w:p>
            <w:pPr>
              <w:spacing w:line="360" w:lineRule="auto"/>
              <w:jc w:val="center"/>
              <w:rPr>
                <w:rFonts w:ascii="宋体" w:cs="宋体"/>
                <w:color w:val="000000"/>
                <w:sz w:val="24"/>
              </w:rPr>
            </w:pPr>
          </w:p>
        </w:tc>
        <w:tc>
          <w:tcPr>
            <w:tcW w:w="2317" w:type="dxa"/>
          </w:tcPr>
          <w:p>
            <w:pPr>
              <w:spacing w:line="360" w:lineRule="auto"/>
              <w:jc w:val="center"/>
              <w:rPr>
                <w:rFonts w:ascii="宋体" w:cs="宋体"/>
                <w:color w:val="000000"/>
                <w:sz w:val="24"/>
              </w:rPr>
            </w:pPr>
          </w:p>
        </w:tc>
      </w:tr>
      <w:tr>
        <w:tc>
          <w:tcPr>
            <w:tcW w:w="1948" w:type="dxa"/>
          </w:tcPr>
          <w:p>
            <w:pPr>
              <w:spacing w:line="360" w:lineRule="auto"/>
              <w:rPr>
                <w:rFonts w:ascii="宋体" w:cs="宋体"/>
                <w:color w:val="000000"/>
                <w:sz w:val="24"/>
              </w:rPr>
            </w:pPr>
            <w:r>
              <w:rPr>
                <w:rFonts w:ascii="宋体" w:cs="宋体" w:hint="eastAsia"/>
                <w:color w:val="000000"/>
                <w:sz w:val="24"/>
              </w:rPr>
              <w:t>.......</w:t>
            </w:r>
          </w:p>
        </w:tc>
        <w:tc>
          <w:tcPr>
            <w:tcW w:w="1948" w:type="dxa"/>
          </w:tcPr>
          <w:p>
            <w:pPr>
              <w:spacing w:line="360" w:lineRule="auto"/>
              <w:jc w:val="center"/>
              <w:rPr>
                <w:rFonts w:ascii="宋体" w:cs="宋体"/>
                <w:color w:val="000000"/>
                <w:sz w:val="24"/>
              </w:rPr>
            </w:pPr>
          </w:p>
        </w:tc>
        <w:tc>
          <w:tcPr>
            <w:tcW w:w="1948" w:type="dxa"/>
          </w:tcPr>
          <w:p>
            <w:pPr>
              <w:spacing w:line="360" w:lineRule="auto"/>
              <w:jc w:val="center"/>
              <w:rPr>
                <w:rFonts w:ascii="宋体" w:cs="宋体"/>
                <w:color w:val="000000"/>
                <w:sz w:val="24"/>
              </w:rPr>
            </w:pPr>
          </w:p>
        </w:tc>
        <w:tc>
          <w:tcPr>
            <w:tcW w:w="1817" w:type="dxa"/>
          </w:tcPr>
          <w:p>
            <w:pPr>
              <w:spacing w:line="360" w:lineRule="auto"/>
              <w:jc w:val="center"/>
              <w:rPr>
                <w:rFonts w:ascii="宋体" w:cs="宋体"/>
                <w:color w:val="000000"/>
                <w:sz w:val="24"/>
              </w:rPr>
            </w:pPr>
          </w:p>
        </w:tc>
        <w:tc>
          <w:tcPr>
            <w:tcW w:w="2317" w:type="dxa"/>
          </w:tcPr>
          <w:p>
            <w:pPr>
              <w:spacing w:line="360" w:lineRule="auto"/>
              <w:jc w:val="center"/>
              <w:rPr>
                <w:rFonts w:ascii="宋体" w:cs="宋体"/>
                <w:color w:val="000000"/>
                <w:sz w:val="24"/>
              </w:rPr>
            </w:pPr>
          </w:p>
        </w:tc>
      </w:tr>
    </w:tbl>
    <w:p>
      <w:pPr>
        <w:spacing w:line="360" w:lineRule="auto"/>
        <w:jc w:val="center"/>
        <w:rPr>
          <w:rFonts w:ascii="宋体" w:cs="宋体"/>
          <w:color w:val="000000"/>
          <w:sz w:val="24"/>
        </w:rPr>
      </w:pPr>
    </w:p>
    <w:p>
      <w:pPr>
        <w:spacing w:line="360" w:lineRule="auto"/>
        <w:rPr>
          <w:rFonts w:ascii="宋体" w:cs="宋体"/>
          <w:color w:val="000000"/>
          <w:sz w:val="24"/>
        </w:rPr>
      </w:pPr>
    </w:p>
    <w:p>
      <w:pPr>
        <w:spacing w:line="360" w:lineRule="auto"/>
        <w:rPr>
          <w:rFonts w:ascii="宋体" w:cs="宋体"/>
          <w:color w:val="000000"/>
          <w:sz w:val="24"/>
        </w:rPr>
      </w:pPr>
      <w:r>
        <w:rPr>
          <w:rFonts w:ascii="宋体" w:cs="宋体" w:hint="eastAsia"/>
          <w:color w:val="000000"/>
          <w:sz w:val="24"/>
        </w:rPr>
        <w:t>注：对照采购文件“第五章 项目需求”逐条应答</w:t>
      </w:r>
    </w:p>
    <w:p>
      <w:pPr>
        <w:spacing w:line="360" w:lineRule="auto"/>
        <w:jc w:val="center"/>
        <w:rPr>
          <w:rFonts w:ascii="宋体" w:cs="宋体"/>
          <w:color w:val="000000"/>
          <w:sz w:val="24"/>
        </w:rPr>
      </w:pPr>
    </w:p>
    <w:p>
      <w:pPr>
        <w:spacing w:line="360" w:lineRule="auto"/>
        <w:jc w:val="center"/>
        <w:rPr>
          <w:rFonts w:ascii="宋体" w:cs="宋体"/>
          <w:color w:val="000000"/>
          <w:sz w:val="24"/>
        </w:rPr>
      </w:pPr>
    </w:p>
    <w:p>
      <w:pPr>
        <w:spacing w:line="360" w:lineRule="auto"/>
        <w:jc w:val="center"/>
        <w:rPr>
          <w:rFonts w:ascii="宋体" w:cs="宋体"/>
          <w:color w:val="000000"/>
          <w:sz w:val="24"/>
        </w:rPr>
      </w:pPr>
    </w:p>
    <w:p>
      <w:pPr>
        <w:adjustRightInd w:val="0"/>
        <w:snapToGrid w:val="0"/>
        <w:spacing w:line="360" w:lineRule="auto"/>
        <w:rPr>
          <w:rFonts w:ascii="宋体" w:cs="宋体"/>
          <w:sz w:val="24"/>
        </w:rPr>
      </w:pPr>
      <w:r>
        <w:rPr>
          <w:rFonts w:ascii="宋体" w:cs="宋体" w:hint="eastAsia"/>
          <w:sz w:val="24"/>
        </w:rPr>
        <w:t>供应商名称：</w:t>
      </w:r>
      <w:r>
        <w:rPr>
          <w:rFonts w:ascii="宋体" w:cs="宋体" w:hint="eastAsia"/>
          <w:sz w:val="24"/>
          <w:u w:val="single"/>
        </w:rPr>
        <w:t xml:space="preserve">                                                              </w:t>
      </w:r>
      <w:r>
        <w:rPr>
          <w:rFonts w:ascii="宋体" w:cs="宋体" w:hint="eastAsia"/>
          <w:sz w:val="24"/>
        </w:rPr>
        <w:t>（公章）</w:t>
      </w:r>
    </w:p>
    <w:p>
      <w:pPr>
        <w:adjustRightInd w:val="0"/>
        <w:snapToGrid w:val="0"/>
        <w:spacing w:line="360" w:lineRule="auto"/>
        <w:rPr>
          <w:rFonts w:ascii="宋体" w:cs="宋体"/>
          <w:sz w:val="24"/>
        </w:rPr>
      </w:pPr>
      <w:r>
        <w:rPr>
          <w:rFonts w:ascii="宋体" w:cs="宋体" w:hint="eastAsia"/>
          <w:bCs/>
          <w:sz w:val="24"/>
        </w:rPr>
        <w:t>法定代表人或其授权委托人签名：</w:t>
      </w:r>
      <w:r>
        <w:rPr>
          <w:rFonts w:ascii="宋体" w:cs="宋体" w:hint="eastAsia"/>
          <w:sz w:val="24"/>
          <w:u w:val="single"/>
        </w:rPr>
        <w:t xml:space="preserve">           </w:t>
      </w:r>
    </w:p>
    <w:p>
      <w:pPr>
        <w:adjustRightInd w:val="0"/>
        <w:snapToGrid w:val="0"/>
        <w:spacing w:line="360" w:lineRule="auto"/>
        <w:rPr>
          <w:rFonts w:ascii="宋体" w:cs="宋体"/>
          <w:b/>
          <w:bCs/>
          <w:sz w:val="24"/>
        </w:rPr>
      </w:pPr>
      <w:r>
        <w:rPr>
          <w:rFonts w:ascii="宋体" w:cs="宋体" w:hint="eastAsia"/>
          <w:sz w:val="24"/>
        </w:rPr>
        <w:t>日期：2026年</w:t>
      </w:r>
      <w:r>
        <w:rPr>
          <w:rFonts w:ascii="宋体" w:cs="宋体" w:hint="eastAsia"/>
          <w:sz w:val="24"/>
          <w:u w:val="single"/>
        </w:rPr>
        <w:t xml:space="preserve">   </w:t>
      </w:r>
      <w:r>
        <w:rPr>
          <w:rFonts w:ascii="宋体" w:cs="宋体" w:hint="eastAsia"/>
          <w:sz w:val="24"/>
        </w:rPr>
        <w:t>月</w:t>
      </w:r>
      <w:r>
        <w:rPr>
          <w:rFonts w:ascii="宋体" w:cs="宋体" w:hint="eastAsia"/>
          <w:sz w:val="24"/>
          <w:u w:val="single"/>
        </w:rPr>
        <w:t xml:space="preserve">   </w:t>
      </w:r>
      <w:r>
        <w:rPr>
          <w:rFonts w:ascii="宋体" w:cs="宋体" w:hint="eastAsia"/>
          <w:sz w:val="24"/>
        </w:rPr>
        <w:t>日</w:t>
      </w:r>
    </w:p>
    <w:p>
      <w:pPr>
        <w:spacing w:line="360" w:lineRule="auto"/>
        <w:jc w:val="center"/>
        <w:rPr>
          <w:rFonts w:ascii="宋体" w:cs="宋体"/>
          <w:color w:val="000000"/>
          <w:sz w:val="24"/>
        </w:rPr>
      </w:pPr>
    </w:p>
    <w:p>
      <w:pPr>
        <w:spacing w:line="360" w:lineRule="auto"/>
        <w:jc w:val="center"/>
        <w:rPr>
          <w:rFonts w:ascii="宋体" w:cs="宋体"/>
          <w:color w:val="000000"/>
          <w:sz w:val="24"/>
        </w:rPr>
      </w:pPr>
    </w:p>
    <w:p>
      <w:pPr>
        <w:spacing w:line="360" w:lineRule="auto"/>
        <w:jc w:val="center"/>
        <w:rPr>
          <w:rFonts w:ascii="宋体" w:cs="宋体"/>
          <w:color w:val="000000"/>
          <w:sz w:val="24"/>
        </w:rPr>
      </w:pPr>
    </w:p>
    <w:p>
      <w:pPr>
        <w:spacing w:line="360" w:lineRule="auto"/>
        <w:ind w:firstLine="200"/>
        <w:jc w:val="center"/>
        <w:rPr>
          <w:rFonts w:ascii="宋体" w:cs="宋体"/>
          <w:b/>
          <w:color w:val="000000"/>
          <w:sz w:val="24"/>
        </w:rPr>
      </w:pPr>
    </w:p>
    <w:p>
      <w:pPr>
        <w:spacing w:line="360" w:lineRule="auto"/>
        <w:ind w:firstLine="200"/>
        <w:jc w:val="center"/>
        <w:rPr>
          <w:rFonts w:ascii="宋体" w:cs="宋体"/>
          <w:b/>
          <w:color w:val="000000"/>
          <w:sz w:val="24"/>
        </w:rPr>
      </w:pPr>
    </w:p>
    <w:p>
      <w:pPr>
        <w:spacing w:line="360" w:lineRule="auto"/>
        <w:ind w:firstLine="200"/>
        <w:jc w:val="center"/>
        <w:rPr>
          <w:rFonts w:ascii="宋体" w:cs="宋体"/>
          <w:b/>
          <w:color w:val="000000"/>
          <w:sz w:val="24"/>
        </w:rPr>
      </w:pPr>
    </w:p>
    <w:p>
      <w:pPr>
        <w:spacing w:line="360" w:lineRule="auto"/>
        <w:ind w:firstLine="200"/>
        <w:jc w:val="center"/>
        <w:rPr>
          <w:rFonts w:ascii="宋体" w:cs="宋体"/>
          <w:b/>
          <w:color w:val="000000"/>
          <w:sz w:val="24"/>
        </w:rPr>
      </w:pPr>
    </w:p>
    <w:p>
      <w:pPr>
        <w:spacing w:line="360" w:lineRule="auto"/>
        <w:ind w:firstLine="200"/>
        <w:jc w:val="center"/>
        <w:rPr>
          <w:rFonts w:ascii="宋体" w:cs="宋体"/>
          <w:b/>
          <w:color w:val="000000"/>
          <w:sz w:val="24"/>
        </w:rPr>
      </w:pPr>
    </w:p>
    <w:p>
      <w:pPr>
        <w:spacing w:line="360" w:lineRule="auto"/>
        <w:ind w:firstLine="200"/>
        <w:jc w:val="center"/>
        <w:rPr>
          <w:rFonts w:ascii="宋体" w:cs="宋体"/>
          <w:b/>
          <w:color w:val="000000"/>
          <w:sz w:val="24"/>
        </w:rPr>
      </w:pPr>
    </w:p>
    <w:p>
      <w:pPr>
        <w:spacing w:line="360" w:lineRule="auto"/>
        <w:ind w:firstLine="200"/>
        <w:jc w:val="center"/>
        <w:rPr>
          <w:rFonts w:ascii="宋体" w:cs="宋体"/>
          <w:b/>
          <w:color w:val="000000"/>
          <w:sz w:val="24"/>
        </w:rPr>
      </w:pPr>
    </w:p>
    <w:p>
      <w:pPr>
        <w:spacing w:line="360" w:lineRule="auto"/>
        <w:rPr>
          <w:rFonts w:ascii="宋体" w:cs="宋体"/>
          <w:b/>
          <w:color w:val="000000"/>
          <w:sz w:val="24"/>
        </w:rPr>
      </w:pPr>
    </w:p>
    <w:p>
      <w:pPr>
        <w:spacing w:line="360" w:lineRule="auto"/>
        <w:ind w:firstLine="200"/>
        <w:jc w:val="center"/>
        <w:rPr>
          <w:rFonts w:ascii="宋体" w:cs="宋体"/>
          <w:bCs/>
          <w:color w:val="000000"/>
          <w:sz w:val="24"/>
        </w:rPr>
      </w:pPr>
    </w:p>
    <w:p>
      <w:pPr>
        <w:spacing w:line="360" w:lineRule="auto"/>
        <w:ind w:firstLine="200"/>
        <w:jc w:val="center"/>
        <w:rPr>
          <w:rFonts w:ascii="宋体" w:cs="宋体"/>
          <w:bCs/>
          <w:color w:val="000000"/>
          <w:sz w:val="24"/>
        </w:rPr>
      </w:pPr>
      <w:r>
        <w:rPr>
          <w:rFonts w:ascii="宋体" w:cs="宋体" w:hint="eastAsia"/>
          <w:bCs/>
          <w:color w:val="000000"/>
          <w:sz w:val="24"/>
        </w:rPr>
        <w:t>七、项目设计方案、项目实施方案、项目培训方案、售后服务方案等&lt;格式自拟&gt;</w:t>
      </w:r>
    </w:p>
    <w:p>
      <w:pPr>
        <w:spacing w:line="360" w:lineRule="auto"/>
        <w:ind w:firstLine="200"/>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rPr>
          <w:rFonts w:ascii="宋体" w:cs="宋体"/>
          <w:b/>
          <w:color w:val="000000"/>
          <w:sz w:val="24"/>
        </w:rPr>
      </w:pPr>
    </w:p>
    <w:p>
      <w:pPr>
        <w:spacing w:line="360" w:lineRule="auto"/>
        <w:ind w:right="480" w:firstLineChars="2750" w:firstLine="6600"/>
        <w:rPr>
          <w:rFonts w:ascii="宋体" w:cs="宋体"/>
          <w:color w:val="000000"/>
          <w:sz w:val="24"/>
        </w:rPr>
      </w:pPr>
    </w:p>
    <w:p>
      <w:pPr>
        <w:pStyle w:val="70"/>
        <w:spacing w:afterLines="50" w:after="156"/>
        <w:rPr>
          <w:rFonts w:ascii="宋体" w:cs="宋体"/>
          <w:b w:val="0"/>
          <w:color w:val="000000"/>
          <w:sz w:val="24"/>
          <w:szCs w:val="24"/>
        </w:rPr>
      </w:pPr>
      <w:bookmarkStart w:id="57" w:name="_Toc12890655"/>
      <w:r>
        <w:rPr>
          <w:rFonts w:ascii="宋体" w:cs="宋体" w:hint="eastAsia"/>
          <w:b w:val="0"/>
          <w:color w:val="000000"/>
          <w:sz w:val="24"/>
          <w:szCs w:val="24"/>
        </w:rPr>
        <w:t>八、供应商认为应当提交的与比选有关的其他资料</w:t>
      </w:r>
    </w:p>
    <w:p>
      <w:pPr>
        <w:rPr>
          <w:rFonts w:ascii="宋体" w:cs="宋体"/>
          <w:color w:val="000000"/>
          <w:sz w:val="24"/>
        </w:rPr>
      </w:pPr>
    </w:p>
    <w:p>
      <w:pPr>
        <w:spacing w:afterLines="50" w:after="156"/>
        <w:jc w:val="center"/>
        <w:outlineLvl w:val="1"/>
        <w:rPr>
          <w:rFonts w:ascii="宋体" w:cs="宋体"/>
          <w:color w:val="000000"/>
          <w:sz w:val="24"/>
        </w:rPr>
      </w:pPr>
      <w:bookmarkStart w:id="58" w:name="_Hlk508569874"/>
      <w:bookmarkStart w:id="59" w:name="_Toc39654524"/>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afterLines="50" w:after="156"/>
        <w:jc w:val="center"/>
        <w:outlineLvl w:val="1"/>
        <w:rPr>
          <w:rFonts w:ascii="宋体" w:cs="宋体"/>
          <w:color w:val="000000"/>
          <w:sz w:val="24"/>
        </w:rPr>
      </w:pPr>
    </w:p>
    <w:p>
      <w:pPr>
        <w:spacing w:line="360" w:lineRule="auto"/>
        <w:rPr>
          <w:rFonts w:ascii="宋体" w:cs="宋体"/>
          <w:color w:val="000000"/>
          <w:sz w:val="24"/>
        </w:rPr>
      </w:pPr>
    </w:p>
    <w:p>
      <w:pPr>
        <w:spacing w:line="360" w:lineRule="auto"/>
        <w:rPr>
          <w:rFonts w:ascii="宋体" w:cs="宋体"/>
          <w:color w:val="000000"/>
          <w:sz w:val="24"/>
          <w:u w:val="single"/>
        </w:rPr>
      </w:pPr>
      <w:r>
        <w:rPr>
          <w:rFonts w:ascii="宋体" w:cs="宋体" w:hint="eastAsia"/>
          <w:color w:val="000000"/>
          <w:sz w:val="24"/>
        </w:rPr>
        <w:t xml:space="preserve">九、中小企业声明函格式                                                     </w:t>
      </w:r>
    </w:p>
    <w:p>
      <w:pPr>
        <w:pStyle w:val="64"/>
        <w:spacing w:line="360" w:lineRule="auto"/>
        <w:ind w:firstLine="480"/>
        <w:rPr>
          <w:rFonts w:ascii="宋体" w:cs="宋体"/>
          <w:color w:val="000000"/>
          <w:sz w:val="24"/>
          <w:szCs w:val="24"/>
        </w:rPr>
      </w:pPr>
    </w:p>
    <w:p>
      <w:pPr>
        <w:pStyle w:val="70"/>
        <w:spacing w:before="0" w:afterLines="50" w:after="156" w:line="240" w:lineRule="auto"/>
        <w:jc w:val="center"/>
        <w:rPr>
          <w:rFonts w:ascii="宋体" w:cs="宋体"/>
          <w:bCs/>
          <w:color w:val="000000"/>
          <w:sz w:val="24"/>
          <w:szCs w:val="24"/>
        </w:rPr>
      </w:pPr>
      <w:r>
        <w:rPr>
          <w:rFonts w:ascii="宋体" w:cs="宋体" w:hint="eastAsia"/>
          <w:bCs/>
          <w:color w:val="000000"/>
          <w:sz w:val="24"/>
          <w:szCs w:val="24"/>
        </w:rPr>
        <w:t>中小企业声明函</w:t>
      </w:r>
    </w:p>
    <w:p>
      <w:pPr>
        <w:spacing w:line="360" w:lineRule="auto"/>
        <w:ind w:firstLineChars="200" w:firstLine="480"/>
        <w:rPr>
          <w:rFonts w:ascii="宋体" w:cs="宋体"/>
          <w:color w:val="000000"/>
          <w:sz w:val="24"/>
        </w:rPr>
      </w:pPr>
      <w:r>
        <w:rPr>
          <w:rFonts w:ascii="宋体" w:cs="宋体" w:hint="eastAsia"/>
          <w:color w:val="000000"/>
          <w:sz w:val="24"/>
        </w:rPr>
        <w:t xml:space="preserve">    本公司（联合体）郑重声明，根据《政府采购促进中小企业发展管理办法》（财库﹝2020﹞46号）的规定，本公司（联合体）参加 （</w:t>
      </w:r>
      <w:r>
        <w:rPr>
          <w:rFonts w:ascii="宋体" w:cs="宋体" w:hint="eastAsia"/>
          <w:color w:val="000000"/>
          <w:sz w:val="24"/>
          <w:u w:val="single"/>
        </w:rPr>
        <w:t>单  位   名  称）</w:t>
      </w:r>
      <w:r>
        <w:rPr>
          <w:rFonts w:ascii="宋体" w:cs="宋体" w:hint="eastAsia"/>
          <w:color w:val="000000"/>
          <w:sz w:val="24"/>
        </w:rPr>
        <w:t>的 （</w:t>
      </w:r>
      <w:r>
        <w:rPr>
          <w:rFonts w:ascii="宋体" w:cs="宋体" w:hint="eastAsia"/>
          <w:color w:val="000000"/>
          <w:sz w:val="24"/>
          <w:u w:val="single"/>
        </w:rPr>
        <w:t xml:space="preserve">项目名称）  </w:t>
      </w:r>
      <w:r>
        <w:rPr>
          <w:rFonts w:ascii="宋体" w:cs="宋体" w:hint="eastAsia"/>
          <w:color w:val="000000"/>
          <w:sz w:val="24"/>
        </w:rPr>
        <w:t>采购活动，服务全部由符合政策要求的中小企业承接。相关企业（含联合体中的中小企业、签订分包意向协议的中小企业）的具体情况如下：</w:t>
      </w:r>
    </w:p>
    <w:p>
      <w:pPr>
        <w:spacing w:line="360" w:lineRule="auto"/>
        <w:ind w:firstLineChars="200" w:firstLine="480"/>
        <w:rPr>
          <w:rFonts w:ascii="宋体" w:cs="宋体"/>
          <w:color w:val="000000"/>
          <w:sz w:val="24"/>
        </w:rPr>
      </w:pPr>
      <w:r>
        <w:rPr>
          <w:rFonts w:ascii="宋体" w:cs="宋体" w:hint="eastAsia"/>
          <w:color w:val="000000"/>
          <w:sz w:val="24"/>
        </w:rPr>
        <w:t xml:space="preserve">1. </w:t>
      </w:r>
      <w:r>
        <w:rPr>
          <w:rFonts w:ascii="宋体" w:cs="宋体" w:hint="eastAsia"/>
          <w:color w:val="000000"/>
          <w:sz w:val="24"/>
          <w:u w:val="single"/>
        </w:rPr>
        <w:t xml:space="preserve">（标的名称） </w:t>
      </w:r>
      <w:r>
        <w:rPr>
          <w:rFonts w:ascii="宋体" w:cs="宋体" w:hint="eastAsia"/>
          <w:color w:val="000000"/>
          <w:sz w:val="24"/>
        </w:rPr>
        <w:t>，属于</w:t>
      </w:r>
      <w:r>
        <w:rPr>
          <w:rFonts w:ascii="宋体" w:cs="宋体" w:hint="eastAsia"/>
          <w:color w:val="000000"/>
          <w:sz w:val="24"/>
          <w:u w:val="single"/>
        </w:rPr>
        <w:t xml:space="preserve">（采购文件中明确的所属行业）  </w:t>
      </w:r>
      <w:r>
        <w:rPr>
          <w:rFonts w:ascii="宋体" w:cs="宋体" w:hint="eastAsia"/>
          <w:color w:val="000000"/>
          <w:sz w:val="24"/>
        </w:rPr>
        <w:t xml:space="preserve">，承建（承接）企业为 </w:t>
      </w:r>
      <w:r>
        <w:rPr>
          <w:rFonts w:ascii="宋体" w:cs="宋体" w:hint="eastAsia"/>
          <w:color w:val="000000"/>
          <w:sz w:val="24"/>
          <w:u w:val="single"/>
        </w:rPr>
        <w:t>（企业名称）</w:t>
      </w:r>
      <w:r>
        <w:rPr>
          <w:rFonts w:ascii="宋体" w:cs="宋体" w:hint="eastAsia"/>
          <w:color w:val="000000"/>
          <w:sz w:val="24"/>
        </w:rPr>
        <w:t>，从业人员</w:t>
      </w:r>
      <w:r>
        <w:rPr>
          <w:rFonts w:ascii="宋体" w:cs="宋体" w:hint="eastAsia"/>
          <w:color w:val="000000"/>
          <w:sz w:val="24"/>
          <w:u w:val="single"/>
        </w:rPr>
        <w:t xml:space="preserve">    </w:t>
      </w:r>
      <w:r>
        <w:rPr>
          <w:rFonts w:ascii="宋体" w:cs="宋体" w:hint="eastAsia"/>
          <w:color w:val="000000"/>
          <w:sz w:val="24"/>
        </w:rPr>
        <w:t>人，营业收入为</w:t>
      </w:r>
      <w:r>
        <w:rPr>
          <w:rFonts w:ascii="宋体" w:cs="宋体" w:hint="eastAsia"/>
          <w:color w:val="000000"/>
          <w:sz w:val="24"/>
          <w:u w:val="single"/>
        </w:rPr>
        <w:t xml:space="preserve">    </w:t>
      </w:r>
      <w:r>
        <w:rPr>
          <w:rFonts w:ascii="宋体" w:cs="宋体" w:hint="eastAsia"/>
          <w:color w:val="000000"/>
          <w:sz w:val="24"/>
        </w:rPr>
        <w:t>万元，资产总额为</w:t>
      </w:r>
      <w:r>
        <w:rPr>
          <w:rFonts w:ascii="宋体" w:cs="宋体" w:hint="eastAsia"/>
          <w:color w:val="000000"/>
          <w:sz w:val="24"/>
          <w:u w:val="single"/>
        </w:rPr>
        <w:t xml:space="preserve">    </w:t>
      </w:r>
      <w:r>
        <w:rPr>
          <w:rFonts w:ascii="宋体" w:cs="宋体" w:hint="eastAsia"/>
          <w:color w:val="000000"/>
          <w:sz w:val="24"/>
        </w:rPr>
        <w:t xml:space="preserve">万元，属于 </w:t>
      </w:r>
      <w:r>
        <w:rPr>
          <w:rFonts w:ascii="宋体" w:cs="宋体" w:hint="eastAsia"/>
          <w:color w:val="000000"/>
          <w:sz w:val="24"/>
          <w:u w:val="single"/>
        </w:rPr>
        <w:t>（中型企业、小型企业、微型企业）</w:t>
      </w:r>
      <w:r>
        <w:rPr>
          <w:rFonts w:ascii="宋体" w:cs="宋体" w:hint="eastAsia"/>
          <w:color w:val="000000"/>
          <w:sz w:val="24"/>
        </w:rPr>
        <w:t>；</w:t>
      </w:r>
    </w:p>
    <w:p>
      <w:pPr>
        <w:spacing w:line="360" w:lineRule="auto"/>
        <w:ind w:firstLineChars="200" w:firstLine="480"/>
        <w:rPr>
          <w:rFonts w:ascii="宋体" w:cs="宋体"/>
          <w:color w:val="000000"/>
          <w:sz w:val="24"/>
        </w:rPr>
      </w:pPr>
      <w:r>
        <w:rPr>
          <w:rFonts w:ascii="宋体" w:cs="宋体" w:hint="eastAsia"/>
          <w:color w:val="000000"/>
          <w:sz w:val="24"/>
        </w:rPr>
        <w:t>2.</w:t>
      </w:r>
      <w:r>
        <w:rPr>
          <w:rFonts w:ascii="宋体" w:cs="宋体" w:hint="eastAsia"/>
          <w:color w:val="000000"/>
          <w:sz w:val="24"/>
          <w:u w:val="single"/>
        </w:rPr>
        <w:t xml:space="preserve"> （标的名称） </w:t>
      </w:r>
      <w:r>
        <w:rPr>
          <w:rFonts w:ascii="宋体" w:cs="宋体" w:hint="eastAsia"/>
          <w:color w:val="000000"/>
          <w:sz w:val="24"/>
        </w:rPr>
        <w:t>，属于</w:t>
      </w:r>
      <w:r>
        <w:rPr>
          <w:rFonts w:ascii="宋体" w:cs="宋体" w:hint="eastAsia"/>
          <w:color w:val="000000"/>
          <w:sz w:val="24"/>
          <w:u w:val="single"/>
        </w:rPr>
        <w:t xml:space="preserve">（采购文件中明确的所属行业）  </w:t>
      </w:r>
      <w:r>
        <w:rPr>
          <w:rFonts w:ascii="宋体" w:cs="宋体" w:hint="eastAsia"/>
          <w:color w:val="000000"/>
          <w:sz w:val="24"/>
        </w:rPr>
        <w:t xml:space="preserve">，承建（承接）企业为 </w:t>
      </w:r>
      <w:r>
        <w:rPr>
          <w:rFonts w:ascii="宋体" w:cs="宋体" w:hint="eastAsia"/>
          <w:color w:val="000000"/>
          <w:sz w:val="24"/>
          <w:u w:val="single"/>
        </w:rPr>
        <w:t>（企业名称）</w:t>
      </w:r>
      <w:r>
        <w:rPr>
          <w:rFonts w:ascii="宋体" w:cs="宋体" w:hint="eastAsia"/>
          <w:color w:val="000000"/>
          <w:sz w:val="24"/>
        </w:rPr>
        <w:t>，从业人员</w:t>
      </w:r>
      <w:r>
        <w:rPr>
          <w:rFonts w:ascii="宋体" w:cs="宋体" w:hint="eastAsia"/>
          <w:color w:val="000000"/>
          <w:sz w:val="24"/>
          <w:u w:val="single"/>
        </w:rPr>
        <w:t xml:space="preserve">    </w:t>
      </w:r>
      <w:r>
        <w:rPr>
          <w:rFonts w:ascii="宋体" w:cs="宋体" w:hint="eastAsia"/>
          <w:color w:val="000000"/>
          <w:sz w:val="24"/>
        </w:rPr>
        <w:t>人，营业收入为</w:t>
      </w:r>
      <w:r>
        <w:rPr>
          <w:rFonts w:ascii="宋体" w:cs="宋体" w:hint="eastAsia"/>
          <w:color w:val="000000"/>
          <w:sz w:val="24"/>
          <w:u w:val="single"/>
        </w:rPr>
        <w:t xml:space="preserve">    </w:t>
      </w:r>
      <w:r>
        <w:rPr>
          <w:rFonts w:ascii="宋体" w:cs="宋体" w:hint="eastAsia"/>
          <w:color w:val="000000"/>
          <w:sz w:val="24"/>
        </w:rPr>
        <w:t>万元，资产总额为</w:t>
      </w:r>
      <w:r>
        <w:rPr>
          <w:rFonts w:ascii="宋体" w:cs="宋体" w:hint="eastAsia"/>
          <w:color w:val="000000"/>
          <w:sz w:val="24"/>
          <w:u w:val="single"/>
        </w:rPr>
        <w:t xml:space="preserve">    </w:t>
      </w:r>
      <w:r>
        <w:rPr>
          <w:rFonts w:ascii="宋体" w:cs="宋体" w:hint="eastAsia"/>
          <w:color w:val="000000"/>
          <w:sz w:val="24"/>
        </w:rPr>
        <w:t xml:space="preserve">万元，属于 </w:t>
      </w:r>
      <w:r>
        <w:rPr>
          <w:rFonts w:ascii="宋体" w:cs="宋体" w:hint="eastAsia"/>
          <w:color w:val="000000"/>
          <w:sz w:val="24"/>
          <w:u w:val="single"/>
        </w:rPr>
        <w:t>（中型企业、小型企业、微型企业）</w:t>
      </w:r>
      <w:r>
        <w:rPr>
          <w:rFonts w:ascii="宋体" w:cs="宋体" w:hint="eastAsia"/>
          <w:color w:val="000000"/>
          <w:sz w:val="24"/>
        </w:rPr>
        <w:t>；</w:t>
      </w:r>
    </w:p>
    <w:p>
      <w:pPr>
        <w:spacing w:line="360" w:lineRule="auto"/>
        <w:ind w:firstLineChars="200" w:firstLine="480"/>
        <w:rPr>
          <w:rFonts w:ascii="宋体" w:cs="宋体"/>
          <w:color w:val="000000"/>
          <w:sz w:val="24"/>
        </w:rPr>
      </w:pPr>
      <w:r>
        <w:rPr>
          <w:rFonts w:ascii="宋体" w:cs="宋体" w:hint="eastAsia"/>
          <w:color w:val="000000"/>
          <w:sz w:val="24"/>
        </w:rPr>
        <w:t>……</w:t>
      </w:r>
    </w:p>
    <w:p>
      <w:pPr>
        <w:spacing w:line="360" w:lineRule="auto"/>
        <w:ind w:firstLineChars="200" w:firstLine="480"/>
        <w:rPr>
          <w:rFonts w:ascii="宋体" w:cs="宋体"/>
          <w:color w:val="000000"/>
          <w:sz w:val="24"/>
        </w:rPr>
      </w:pPr>
      <w:r>
        <w:rPr>
          <w:rFonts w:ascii="宋体" w:cs="宋体" w:hint="eastAsia"/>
          <w:color w:val="000000"/>
          <w:sz w:val="24"/>
        </w:rPr>
        <w:t>以上企业，不属于大企业的分支机构，不存在控股股东为大企业的情形，也不存在与大企业的负责人为同一人的情形。</w:t>
      </w:r>
    </w:p>
    <w:p>
      <w:pPr>
        <w:spacing w:line="360" w:lineRule="auto"/>
        <w:ind w:firstLineChars="200" w:firstLine="480"/>
        <w:rPr>
          <w:rFonts w:ascii="宋体" w:cs="宋体"/>
          <w:color w:val="000000"/>
          <w:sz w:val="24"/>
        </w:rPr>
      </w:pPr>
      <w:r>
        <w:rPr>
          <w:rFonts w:ascii="宋体" w:cs="宋体" w:hint="eastAsia"/>
          <w:color w:val="000000"/>
          <w:sz w:val="24"/>
        </w:rPr>
        <w:t>本企业对上述声明内容的真实性负责。如有虚假，将依法承担相应责任。</w:t>
      </w:r>
    </w:p>
    <w:p>
      <w:pPr>
        <w:spacing w:line="360" w:lineRule="auto"/>
        <w:ind w:firstLineChars="200" w:firstLine="480"/>
        <w:rPr>
          <w:rFonts w:ascii="宋体" w:cs="宋体"/>
          <w:color w:val="000000"/>
          <w:sz w:val="24"/>
        </w:rPr>
      </w:pPr>
      <w:r>
        <w:rPr>
          <w:rFonts w:ascii="宋体" w:cs="宋体" w:hint="eastAsia"/>
          <w:color w:val="000000"/>
          <w:sz w:val="24"/>
        </w:rPr>
        <w:t xml:space="preserve">                                                企业名称（盖章）：</w:t>
      </w:r>
    </w:p>
    <w:p>
      <w:pPr>
        <w:spacing w:line="360" w:lineRule="auto"/>
        <w:ind w:firstLineChars="200" w:firstLine="480"/>
        <w:rPr>
          <w:rFonts w:ascii="宋体" w:cs="宋体"/>
          <w:color w:val="000000"/>
          <w:sz w:val="24"/>
        </w:rPr>
      </w:pPr>
      <w:r>
        <w:rPr>
          <w:rFonts w:ascii="宋体" w:cs="宋体" w:hint="eastAsia"/>
          <w:color w:val="000000"/>
          <w:sz w:val="24"/>
        </w:rPr>
        <w:t xml:space="preserve">                                                日期：</w:t>
      </w:r>
    </w:p>
    <w:p>
      <w:pPr>
        <w:spacing w:line="360" w:lineRule="auto"/>
        <w:ind w:firstLineChars="200" w:firstLine="480"/>
        <w:rPr>
          <w:rFonts w:ascii="宋体" w:cs="宋体"/>
          <w:color w:val="000000"/>
          <w:sz w:val="24"/>
        </w:rPr>
      </w:pPr>
    </w:p>
    <w:p>
      <w:pPr>
        <w:spacing w:line="360" w:lineRule="auto"/>
        <w:ind w:firstLineChars="200" w:firstLine="480"/>
        <w:rPr>
          <w:rFonts w:ascii="宋体" w:cs="宋体"/>
          <w:b/>
          <w:color w:val="000000"/>
          <w:sz w:val="24"/>
        </w:rPr>
      </w:pPr>
    </w:p>
    <w:p>
      <w:pPr>
        <w:spacing w:line="360" w:lineRule="auto"/>
        <w:ind w:firstLineChars="200" w:firstLine="480"/>
        <w:rPr>
          <w:rFonts w:ascii="宋体" w:cs="宋体"/>
          <w:b/>
          <w:color w:val="000000"/>
          <w:sz w:val="24"/>
        </w:rPr>
      </w:pPr>
    </w:p>
    <w:p>
      <w:pPr>
        <w:spacing w:line="360" w:lineRule="auto"/>
        <w:ind w:firstLineChars="200" w:firstLine="480"/>
        <w:rPr>
          <w:rFonts w:ascii="宋体" w:cs="宋体"/>
          <w:b/>
          <w:color w:val="000000"/>
          <w:sz w:val="24"/>
        </w:rPr>
      </w:pPr>
      <w:r>
        <w:rPr>
          <w:rFonts w:ascii="宋体" w:cs="宋体" w:hint="eastAsia"/>
          <w:b/>
          <w:color w:val="000000"/>
          <w:sz w:val="24"/>
        </w:rPr>
        <w:t>备注：从业人员、营业收入、总额填报上一年度数据，无上一年度数据的新成立企业可不填报</w:t>
      </w:r>
    </w:p>
    <w:p>
      <w:pPr>
        <w:pStyle w:val="65"/>
        <w:spacing w:line="360" w:lineRule="auto"/>
        <w:ind w:firstLineChars="2050" w:firstLine="4920"/>
        <w:jc w:val="left"/>
        <w:rPr>
          <w:rFonts w:ascii="宋体" w:cs="宋体"/>
          <w:color w:val="000000"/>
          <w:sz w:val="24"/>
        </w:rPr>
      </w:pPr>
      <w:r>
        <w:rPr>
          <w:rFonts w:ascii="宋体" w:cs="宋体" w:hint="eastAsia"/>
          <w:color w:val="000000"/>
          <w:sz w:val="24"/>
        </w:rPr>
        <w:br w:type="page"/>
      </w:r>
    </w:p>
    <w:p>
      <w:pPr>
        <w:spacing w:afterLines="50" w:after="156"/>
        <w:jc w:val="center"/>
        <w:outlineLvl w:val="1"/>
        <w:rPr>
          <w:rFonts w:ascii="宋体" w:cs="宋体"/>
          <w:color w:val="000000"/>
          <w:sz w:val="24"/>
        </w:rPr>
      </w:pPr>
    </w:p>
    <w:p>
      <w:pPr>
        <w:spacing w:afterLines="50" w:after="156"/>
        <w:outlineLvl w:val="1"/>
        <w:rPr>
          <w:rFonts w:ascii="宋体" w:cs="宋体"/>
          <w:color w:val="000000"/>
          <w:sz w:val="24"/>
        </w:rPr>
      </w:pPr>
      <w:r>
        <w:rPr>
          <w:rFonts w:ascii="宋体" w:cs="宋体" w:hint="eastAsia"/>
          <w:color w:val="000000"/>
          <w:sz w:val="24"/>
        </w:rPr>
        <w:t>十、</w:t>
      </w:r>
      <w:bookmarkEnd w:id="58"/>
      <w:r>
        <w:rPr>
          <w:rFonts w:ascii="宋体" w:cs="宋体" w:hint="eastAsia"/>
          <w:color w:val="000000"/>
          <w:sz w:val="24"/>
        </w:rPr>
        <w:t>残疾人福利性单位声明函</w:t>
      </w:r>
      <w:bookmarkEnd w:id="59"/>
    </w:p>
    <w:p>
      <w:pPr>
        <w:pStyle w:val="65"/>
        <w:jc w:val="center"/>
        <w:rPr>
          <w:rFonts w:ascii="宋体" w:cs="宋体"/>
          <w:color w:val="000000"/>
          <w:sz w:val="24"/>
          <w:szCs w:val="24"/>
        </w:rPr>
      </w:pPr>
    </w:p>
    <w:p>
      <w:pPr>
        <w:pStyle w:val="65"/>
        <w:spacing w:line="360" w:lineRule="auto"/>
        <w:ind w:firstLineChars="200" w:firstLine="480"/>
        <w:jc w:val="left"/>
        <w:rPr>
          <w:rFonts w:ascii="宋体" w:cs="宋体"/>
          <w:color w:val="000000"/>
          <w:sz w:val="24"/>
          <w:szCs w:val="24"/>
        </w:rPr>
      </w:pPr>
      <w:r>
        <w:rPr>
          <w:rFonts w:ascii="宋体" w:cs="宋体" w:hint="eastAsia"/>
          <w:color w:val="000000"/>
          <w:sz w:val="24"/>
          <w:szCs w:val="24"/>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65"/>
        <w:spacing w:line="360" w:lineRule="auto"/>
        <w:ind w:firstLineChars="200" w:firstLine="480"/>
        <w:jc w:val="left"/>
        <w:rPr>
          <w:rFonts w:ascii="宋体" w:cs="宋体"/>
          <w:color w:val="000000"/>
          <w:sz w:val="24"/>
          <w:szCs w:val="24"/>
        </w:rPr>
      </w:pPr>
      <w:r>
        <w:rPr>
          <w:rFonts w:ascii="宋体" w:cs="宋体" w:hint="eastAsia"/>
          <w:color w:val="000000"/>
          <w:sz w:val="24"/>
          <w:szCs w:val="24"/>
        </w:rPr>
        <w:t>本单位对上述声明的真实性负责，如有虚假，将依法承担相应责任。</w:t>
      </w:r>
    </w:p>
    <w:p>
      <w:pPr>
        <w:pStyle w:val="65"/>
        <w:spacing w:line="360" w:lineRule="auto"/>
        <w:ind w:firstLineChars="200" w:firstLine="480"/>
        <w:jc w:val="left"/>
        <w:rPr>
          <w:rFonts w:ascii="宋体" w:cs="宋体"/>
          <w:color w:val="000000"/>
          <w:sz w:val="24"/>
          <w:szCs w:val="24"/>
        </w:rPr>
      </w:pPr>
    </w:p>
    <w:p>
      <w:pPr>
        <w:pStyle w:val="65"/>
        <w:spacing w:line="360" w:lineRule="auto"/>
        <w:ind w:firstLineChars="200" w:firstLine="480"/>
        <w:jc w:val="left"/>
        <w:rPr>
          <w:rFonts w:ascii="宋体" w:cs="宋体"/>
          <w:color w:val="000000"/>
          <w:sz w:val="24"/>
          <w:szCs w:val="24"/>
        </w:rPr>
      </w:pPr>
    </w:p>
    <w:p>
      <w:pPr>
        <w:pStyle w:val="65"/>
        <w:spacing w:line="360" w:lineRule="auto"/>
        <w:ind w:firstLineChars="2050" w:firstLine="4920"/>
        <w:jc w:val="left"/>
        <w:rPr>
          <w:rFonts w:ascii="宋体" w:cs="宋体"/>
          <w:color w:val="000000"/>
          <w:sz w:val="24"/>
          <w:szCs w:val="24"/>
        </w:rPr>
      </w:pPr>
      <w:r>
        <w:rPr>
          <w:rFonts w:ascii="宋体" w:cs="宋体" w:hint="eastAsia"/>
          <w:color w:val="000000"/>
          <w:sz w:val="24"/>
          <w:szCs w:val="24"/>
        </w:rPr>
        <w:t>供应商名称（盖章）：</w:t>
      </w:r>
    </w:p>
    <w:p>
      <w:pPr>
        <w:pStyle w:val="65"/>
        <w:spacing w:line="360" w:lineRule="auto"/>
        <w:ind w:firstLineChars="2050" w:firstLine="4920"/>
        <w:jc w:val="left"/>
        <w:rPr>
          <w:rFonts w:ascii="宋体" w:cs="宋体"/>
          <w:color w:val="000000"/>
          <w:sz w:val="24"/>
          <w:szCs w:val="24"/>
        </w:rPr>
      </w:pPr>
      <w:r>
        <w:rPr>
          <w:rFonts w:ascii="宋体" w:cs="宋体" w:hint="eastAsia"/>
          <w:color w:val="000000"/>
          <w:sz w:val="24"/>
          <w:szCs w:val="24"/>
        </w:rPr>
        <w:t>供应商代表签字：</w:t>
      </w:r>
    </w:p>
    <w:p>
      <w:pPr>
        <w:pStyle w:val="65"/>
        <w:spacing w:line="360" w:lineRule="auto"/>
        <w:ind w:firstLineChars="2050" w:firstLine="4920"/>
        <w:jc w:val="left"/>
        <w:rPr>
          <w:rFonts w:ascii="宋体" w:cs="宋体"/>
          <w:color w:val="000000"/>
          <w:sz w:val="24"/>
          <w:szCs w:val="24"/>
        </w:rPr>
      </w:pPr>
      <w:r>
        <w:rPr>
          <w:rFonts w:ascii="宋体" w:cs="宋体" w:hint="eastAsia"/>
          <w:color w:val="000000"/>
          <w:sz w:val="24"/>
          <w:szCs w:val="24"/>
        </w:rPr>
        <w:t>日期：</w:t>
      </w:r>
    </w:p>
    <w:p>
      <w:pPr>
        <w:spacing w:afterLines="50" w:after="156"/>
        <w:jc w:val="center"/>
        <w:outlineLvl w:val="1"/>
        <w:rPr>
          <w:rFonts w:ascii="宋体" w:cs="宋体"/>
          <w:color w:val="000000"/>
          <w:sz w:val="24"/>
        </w:rPr>
      </w:pPr>
      <w:r>
        <w:rPr>
          <w:rFonts w:ascii="宋体" w:cs="宋体" w:hint="eastAsia"/>
          <w:color w:val="000000"/>
          <w:sz w:val="24"/>
        </w:rPr>
        <w:t>七、残疾人福利性单位声明函</w:t>
      </w:r>
    </w:p>
    <w:p>
      <w:pPr>
        <w:pStyle w:val="65"/>
        <w:jc w:val="center"/>
        <w:rPr>
          <w:rFonts w:ascii="宋体" w:cs="宋体"/>
          <w:color w:val="000000"/>
          <w:sz w:val="24"/>
          <w:szCs w:val="24"/>
        </w:rPr>
      </w:pPr>
    </w:p>
    <w:p>
      <w:pPr>
        <w:pStyle w:val="65"/>
        <w:spacing w:line="360" w:lineRule="auto"/>
        <w:ind w:firstLineChars="200" w:firstLine="480"/>
        <w:jc w:val="left"/>
        <w:rPr>
          <w:rFonts w:ascii="宋体" w:cs="宋体"/>
          <w:color w:val="000000"/>
          <w:sz w:val="24"/>
          <w:szCs w:val="24"/>
        </w:rPr>
      </w:pPr>
      <w:r>
        <w:rPr>
          <w:rFonts w:ascii="宋体" w:cs="宋体" w:hint="eastAsia"/>
          <w:color w:val="000000"/>
          <w:sz w:val="24"/>
          <w:szCs w:val="24"/>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65"/>
        <w:spacing w:line="360" w:lineRule="auto"/>
        <w:ind w:firstLineChars="200" w:firstLine="480"/>
        <w:jc w:val="left"/>
        <w:rPr>
          <w:rFonts w:ascii="宋体" w:cs="宋体"/>
          <w:color w:val="000000"/>
          <w:sz w:val="24"/>
          <w:szCs w:val="24"/>
        </w:rPr>
      </w:pPr>
      <w:r>
        <w:rPr>
          <w:rFonts w:ascii="宋体" w:cs="宋体" w:hint="eastAsia"/>
          <w:color w:val="000000"/>
          <w:sz w:val="24"/>
          <w:szCs w:val="24"/>
        </w:rPr>
        <w:t>本单位对上述声明的真实性负责，如有虚假，将依法承担相应责任。</w:t>
      </w:r>
    </w:p>
    <w:p>
      <w:pPr>
        <w:pStyle w:val="65"/>
        <w:spacing w:line="360" w:lineRule="auto"/>
        <w:ind w:firstLineChars="200" w:firstLine="480"/>
        <w:jc w:val="left"/>
        <w:rPr>
          <w:rFonts w:ascii="宋体" w:cs="宋体"/>
          <w:color w:val="000000"/>
          <w:sz w:val="24"/>
          <w:szCs w:val="24"/>
        </w:rPr>
      </w:pPr>
    </w:p>
    <w:p>
      <w:pPr>
        <w:pStyle w:val="65"/>
        <w:spacing w:line="360" w:lineRule="auto"/>
        <w:ind w:firstLineChars="200" w:firstLine="480"/>
        <w:jc w:val="left"/>
        <w:rPr>
          <w:rFonts w:ascii="宋体" w:cs="宋体"/>
          <w:color w:val="000000"/>
          <w:sz w:val="24"/>
          <w:szCs w:val="24"/>
        </w:rPr>
      </w:pPr>
    </w:p>
    <w:p>
      <w:pPr>
        <w:pStyle w:val="65"/>
        <w:spacing w:line="360" w:lineRule="auto"/>
        <w:ind w:firstLineChars="2050" w:firstLine="4920"/>
        <w:jc w:val="left"/>
        <w:rPr>
          <w:rFonts w:ascii="宋体" w:cs="宋体"/>
          <w:color w:val="000000"/>
          <w:sz w:val="24"/>
          <w:szCs w:val="24"/>
        </w:rPr>
      </w:pPr>
      <w:r>
        <w:rPr>
          <w:rFonts w:ascii="宋体" w:cs="宋体" w:hint="eastAsia"/>
          <w:color w:val="000000"/>
          <w:sz w:val="24"/>
          <w:szCs w:val="24"/>
        </w:rPr>
        <w:t>供应商名称（盖章）：</w:t>
      </w:r>
    </w:p>
    <w:p>
      <w:pPr>
        <w:pStyle w:val="65"/>
        <w:spacing w:line="360" w:lineRule="auto"/>
        <w:ind w:firstLineChars="2050" w:firstLine="4920"/>
        <w:jc w:val="left"/>
        <w:rPr>
          <w:rFonts w:ascii="宋体" w:cs="宋体"/>
          <w:color w:val="000000"/>
          <w:sz w:val="24"/>
          <w:szCs w:val="24"/>
        </w:rPr>
      </w:pPr>
      <w:r>
        <w:rPr>
          <w:rFonts w:ascii="宋体" w:cs="宋体" w:hint="eastAsia"/>
          <w:color w:val="000000"/>
          <w:sz w:val="24"/>
          <w:szCs w:val="24"/>
        </w:rPr>
        <w:t>供应商代表签字：</w:t>
      </w:r>
    </w:p>
    <w:p>
      <w:pPr>
        <w:pStyle w:val="65"/>
        <w:spacing w:line="360" w:lineRule="auto"/>
        <w:ind w:firstLineChars="2050" w:firstLine="4920"/>
        <w:jc w:val="left"/>
        <w:rPr>
          <w:rFonts w:ascii="宋体" w:cs="宋体"/>
          <w:color w:val="000000"/>
          <w:sz w:val="24"/>
          <w:szCs w:val="24"/>
        </w:rPr>
      </w:pPr>
      <w:r>
        <w:rPr>
          <w:rFonts w:ascii="宋体" w:cs="宋体" w:hint="eastAsia"/>
          <w:color w:val="000000"/>
          <w:sz w:val="24"/>
          <w:szCs w:val="24"/>
        </w:rPr>
        <w:t>日期：</w:t>
      </w:r>
    </w:p>
    <w:p>
      <w:pPr>
        <w:pStyle w:val="65"/>
        <w:spacing w:line="360" w:lineRule="auto"/>
        <w:ind w:firstLineChars="2050" w:firstLine="4920"/>
        <w:jc w:val="left"/>
        <w:rPr>
          <w:rFonts w:ascii="宋体" w:cs="宋体"/>
          <w:color w:val="000000"/>
          <w:sz w:val="24"/>
          <w:szCs w:val="24"/>
        </w:rPr>
      </w:pPr>
    </w:p>
    <w:p>
      <w:pPr>
        <w:pStyle w:val="65"/>
        <w:spacing w:line="360" w:lineRule="auto"/>
        <w:ind w:firstLineChars="2050" w:firstLine="4920"/>
        <w:jc w:val="left"/>
        <w:rPr>
          <w:rFonts w:ascii="宋体" w:cs="宋体"/>
          <w:color w:val="000000"/>
          <w:sz w:val="24"/>
          <w:szCs w:val="24"/>
        </w:rPr>
      </w:pPr>
    </w:p>
    <w:p>
      <w:pPr>
        <w:pStyle w:val="65"/>
        <w:spacing w:line="360" w:lineRule="auto"/>
        <w:ind w:firstLineChars="2050" w:firstLine="4920"/>
        <w:jc w:val="left"/>
        <w:rPr>
          <w:rFonts w:ascii="宋体" w:cs="宋体"/>
          <w:color w:val="000000"/>
          <w:sz w:val="24"/>
          <w:szCs w:val="24"/>
        </w:rPr>
      </w:pPr>
    </w:p>
    <w:p>
      <w:pPr>
        <w:pStyle w:val="70"/>
        <w:spacing w:afterLines="50" w:after="156"/>
        <w:rPr>
          <w:rFonts w:ascii="宋体" w:cs="宋体"/>
          <w:b w:val="0"/>
          <w:color w:val="000000"/>
          <w:sz w:val="24"/>
          <w:szCs w:val="24"/>
        </w:rPr>
      </w:pPr>
      <w:r>
        <w:rPr>
          <w:rFonts w:ascii="宋体" w:cs="宋体" w:hint="eastAsia"/>
          <w:b w:val="0"/>
          <w:color w:val="000000"/>
          <w:sz w:val="24"/>
          <w:szCs w:val="24"/>
        </w:rPr>
        <w:t>十一、质 疑 函</w:t>
      </w:r>
      <w:bookmarkEnd w:id="57"/>
    </w:p>
    <w:p>
      <w:pPr>
        <w:pStyle w:val="71"/>
        <w:rPr>
          <w:rFonts w:ascii="宋体" w:cs="宋体"/>
          <w:color w:val="000000"/>
          <w:sz w:val="24"/>
          <w:szCs w:val="24"/>
        </w:rPr>
      </w:pPr>
      <w:r>
        <w:rPr>
          <w:rFonts w:ascii="宋体" w:cs="宋体" w:hint="eastAsia"/>
          <w:color w:val="000000"/>
          <w:sz w:val="24"/>
          <w:szCs w:val="24"/>
        </w:rPr>
        <w:t>质疑人名称：</w:t>
      </w:r>
    </w:p>
    <w:p>
      <w:pPr>
        <w:pStyle w:val="71"/>
        <w:rPr>
          <w:rFonts w:ascii="宋体" w:cs="宋体"/>
          <w:color w:val="000000"/>
          <w:sz w:val="24"/>
          <w:szCs w:val="24"/>
        </w:rPr>
      </w:pPr>
      <w:r>
        <w:rPr>
          <w:rFonts w:ascii="宋体" w:cs="宋体" w:hint="eastAsia"/>
          <w:color w:val="000000"/>
          <w:sz w:val="24"/>
          <w:szCs w:val="24"/>
        </w:rPr>
        <w:t xml:space="preserve">质疑人地址：                                       </w:t>
      </w:r>
    </w:p>
    <w:p>
      <w:pPr>
        <w:pStyle w:val="71"/>
        <w:rPr>
          <w:rFonts w:ascii="宋体" w:cs="宋体"/>
          <w:color w:val="000000"/>
          <w:sz w:val="24"/>
          <w:szCs w:val="24"/>
        </w:rPr>
      </w:pPr>
      <w:r>
        <w:rPr>
          <w:rFonts w:ascii="宋体" w:cs="宋体" w:hint="eastAsia"/>
          <w:color w:val="000000"/>
          <w:sz w:val="24"/>
          <w:szCs w:val="24"/>
        </w:rPr>
        <w:t xml:space="preserve">质疑人邮编：                                  </w:t>
      </w:r>
    </w:p>
    <w:p>
      <w:pPr>
        <w:pStyle w:val="71"/>
        <w:rPr>
          <w:rFonts w:ascii="宋体" w:cs="宋体"/>
          <w:color w:val="000000"/>
          <w:sz w:val="24"/>
          <w:szCs w:val="24"/>
        </w:rPr>
      </w:pPr>
      <w:r>
        <w:rPr>
          <w:rFonts w:ascii="宋体" w:cs="宋体" w:hint="eastAsia"/>
          <w:color w:val="000000"/>
          <w:sz w:val="24"/>
          <w:szCs w:val="24"/>
        </w:rPr>
        <w:t xml:space="preserve">联系人：                                      </w:t>
      </w:r>
    </w:p>
    <w:p>
      <w:pPr>
        <w:pStyle w:val="71"/>
        <w:rPr>
          <w:rFonts w:ascii="宋体" w:cs="宋体"/>
          <w:color w:val="000000"/>
          <w:sz w:val="24"/>
          <w:szCs w:val="24"/>
        </w:rPr>
      </w:pPr>
      <w:r>
        <w:rPr>
          <w:rFonts w:ascii="宋体" w:cs="宋体" w:hint="eastAsia"/>
          <w:color w:val="000000"/>
          <w:sz w:val="24"/>
          <w:szCs w:val="24"/>
        </w:rPr>
        <w:t xml:space="preserve">手机：                                  </w:t>
      </w:r>
    </w:p>
    <w:p>
      <w:pPr>
        <w:pStyle w:val="71"/>
        <w:rPr>
          <w:rFonts w:ascii="宋体" w:cs="宋体"/>
          <w:color w:val="000000"/>
          <w:sz w:val="24"/>
          <w:szCs w:val="24"/>
        </w:rPr>
      </w:pPr>
      <w:r>
        <w:rPr>
          <w:rFonts w:ascii="宋体" w:cs="宋体" w:hint="eastAsia"/>
          <w:color w:val="000000"/>
          <w:sz w:val="24"/>
          <w:szCs w:val="24"/>
        </w:rPr>
        <w:t xml:space="preserve">电子邮箱：                                  </w:t>
      </w:r>
    </w:p>
    <w:p>
      <w:pPr>
        <w:pStyle w:val="71"/>
        <w:rPr>
          <w:rFonts w:ascii="宋体" w:cs="宋体"/>
          <w:color w:val="000000"/>
          <w:sz w:val="24"/>
          <w:szCs w:val="24"/>
        </w:rPr>
      </w:pPr>
    </w:p>
    <w:p>
      <w:pPr>
        <w:pStyle w:val="71"/>
        <w:rPr>
          <w:rFonts w:ascii="宋体" w:cs="宋体"/>
          <w:color w:val="000000"/>
          <w:sz w:val="24"/>
          <w:szCs w:val="24"/>
        </w:rPr>
      </w:pPr>
      <w:r>
        <w:rPr>
          <w:rFonts w:ascii="宋体" w:cs="宋体" w:hint="eastAsia"/>
          <w:color w:val="000000"/>
          <w:sz w:val="24"/>
          <w:szCs w:val="24"/>
        </w:rPr>
        <w:t xml:space="preserve">质疑项目名称：                                  </w:t>
      </w:r>
    </w:p>
    <w:p>
      <w:pPr>
        <w:pStyle w:val="71"/>
        <w:rPr>
          <w:rFonts w:ascii="宋体" w:cs="宋体"/>
          <w:color w:val="000000"/>
          <w:sz w:val="24"/>
          <w:szCs w:val="24"/>
        </w:rPr>
      </w:pPr>
      <w:r>
        <w:rPr>
          <w:rFonts w:ascii="宋体" w:cs="宋体" w:hint="eastAsia"/>
          <w:color w:val="000000"/>
          <w:sz w:val="24"/>
          <w:szCs w:val="24"/>
        </w:rPr>
        <w:t xml:space="preserve">项目编号：                                      </w:t>
      </w:r>
    </w:p>
    <w:p>
      <w:pPr>
        <w:pStyle w:val="71"/>
        <w:rPr>
          <w:rFonts w:ascii="宋体" w:cs="宋体"/>
          <w:color w:val="000000"/>
          <w:sz w:val="24"/>
          <w:szCs w:val="24"/>
        </w:rPr>
      </w:pPr>
      <w:r>
        <w:rPr>
          <w:rFonts w:ascii="宋体" w:cs="宋体" w:hint="eastAsia"/>
          <w:color w:val="000000"/>
          <w:sz w:val="24"/>
          <w:szCs w:val="24"/>
        </w:rPr>
        <w:t>质疑类型：□采购文件 □评审过程 □成交结果 □其他</w:t>
      </w:r>
    </w:p>
    <w:p>
      <w:pPr>
        <w:pStyle w:val="71"/>
        <w:rPr>
          <w:rFonts w:ascii="宋体" w:cs="宋体"/>
          <w:color w:val="000000"/>
          <w:sz w:val="24"/>
          <w:szCs w:val="24"/>
        </w:rPr>
      </w:pPr>
      <w:r>
        <w:rPr>
          <w:rFonts w:ascii="宋体" w:cs="宋体" w:hint="eastAsia"/>
          <w:color w:val="000000"/>
          <w:sz w:val="24"/>
          <w:szCs w:val="24"/>
        </w:rPr>
        <w:t>质疑事项：</w:t>
      </w:r>
    </w:p>
    <w:p>
      <w:pPr>
        <w:pStyle w:val="71"/>
        <w:rPr>
          <w:rFonts w:ascii="宋体" w:cs="宋体"/>
          <w:color w:val="000000"/>
          <w:sz w:val="24"/>
          <w:szCs w:val="24"/>
        </w:rPr>
      </w:pPr>
      <w:r>
        <w:rPr>
          <w:rFonts w:ascii="宋体" w:cs="宋体" w:hint="eastAsia"/>
          <w:color w:val="000000"/>
          <w:sz w:val="24"/>
          <w:szCs w:val="24"/>
        </w:rPr>
        <w:t xml:space="preserve">                                 </w:t>
      </w:r>
    </w:p>
    <w:p>
      <w:pPr>
        <w:pStyle w:val="71"/>
        <w:rPr>
          <w:rFonts w:ascii="宋体" w:cs="宋体"/>
          <w:color w:val="000000"/>
          <w:sz w:val="24"/>
          <w:szCs w:val="24"/>
        </w:rPr>
      </w:pPr>
      <w:r>
        <w:rPr>
          <w:rFonts w:ascii="宋体" w:cs="宋体" w:hint="eastAsia"/>
          <w:color w:val="000000"/>
          <w:sz w:val="24"/>
          <w:szCs w:val="24"/>
        </w:rPr>
        <w:t xml:space="preserve">事实依据和证明材料：（可另附页详细说明） </w:t>
      </w:r>
    </w:p>
    <w:p>
      <w:pPr>
        <w:pStyle w:val="71"/>
        <w:rPr>
          <w:rFonts w:ascii="宋体" w:cs="宋体"/>
          <w:color w:val="000000"/>
          <w:sz w:val="24"/>
          <w:szCs w:val="24"/>
        </w:rPr>
      </w:pPr>
      <w:r>
        <w:rPr>
          <w:rFonts w:ascii="宋体" w:cs="宋体" w:hint="eastAsia"/>
          <w:color w:val="000000"/>
          <w:sz w:val="24"/>
          <w:szCs w:val="24"/>
        </w:rPr>
        <w:t xml:space="preserve">                                 </w:t>
      </w:r>
    </w:p>
    <w:p>
      <w:pPr>
        <w:pStyle w:val="71"/>
        <w:rPr>
          <w:rFonts w:ascii="宋体" w:cs="宋体"/>
          <w:color w:val="000000"/>
          <w:sz w:val="24"/>
          <w:szCs w:val="24"/>
        </w:rPr>
      </w:pPr>
      <w:r>
        <w:rPr>
          <w:rFonts w:ascii="宋体" w:cs="宋体" w:hint="eastAsia"/>
          <w:color w:val="000000"/>
          <w:sz w:val="24"/>
          <w:szCs w:val="24"/>
        </w:rPr>
        <w:t xml:space="preserve">法律依据：（可另附页详细说明）  </w:t>
      </w:r>
    </w:p>
    <w:p>
      <w:pPr>
        <w:pStyle w:val="71"/>
        <w:rPr>
          <w:rFonts w:ascii="宋体" w:cs="宋体"/>
          <w:color w:val="000000"/>
          <w:sz w:val="24"/>
          <w:szCs w:val="24"/>
        </w:rPr>
      </w:pPr>
      <w:r>
        <w:rPr>
          <w:rFonts w:ascii="宋体" w:cs="宋体" w:hint="eastAsia"/>
          <w:color w:val="000000"/>
          <w:sz w:val="24"/>
          <w:szCs w:val="24"/>
        </w:rPr>
        <w:t xml:space="preserve">                                </w:t>
      </w:r>
    </w:p>
    <w:p>
      <w:pPr>
        <w:pStyle w:val="71"/>
        <w:rPr>
          <w:rFonts w:ascii="宋体" w:cs="宋体"/>
          <w:color w:val="000000"/>
          <w:sz w:val="24"/>
          <w:szCs w:val="24"/>
        </w:rPr>
      </w:pPr>
      <w:r>
        <w:rPr>
          <w:rFonts w:ascii="宋体" w:cs="宋体" w:hint="eastAsia"/>
          <w:color w:val="000000"/>
          <w:sz w:val="24"/>
          <w:szCs w:val="24"/>
        </w:rPr>
        <w:t xml:space="preserve">其他需要说明的事项：（可另附页详细说明）                                  </w:t>
      </w:r>
    </w:p>
    <w:p>
      <w:pPr>
        <w:pStyle w:val="71"/>
        <w:rPr>
          <w:rFonts w:ascii="宋体" w:cs="宋体"/>
          <w:color w:val="000000"/>
          <w:sz w:val="24"/>
          <w:szCs w:val="24"/>
        </w:rPr>
      </w:pPr>
    </w:p>
    <w:p>
      <w:pPr>
        <w:pStyle w:val="71"/>
        <w:rPr>
          <w:rFonts w:ascii="宋体" w:cs="宋体"/>
          <w:color w:val="000000"/>
          <w:sz w:val="24"/>
          <w:szCs w:val="24"/>
        </w:rPr>
      </w:pPr>
    </w:p>
    <w:p>
      <w:pPr>
        <w:pStyle w:val="71"/>
        <w:rPr>
          <w:rFonts w:ascii="宋体" w:cs="宋体"/>
          <w:color w:val="000000"/>
          <w:sz w:val="24"/>
          <w:szCs w:val="24"/>
        </w:rPr>
      </w:pPr>
    </w:p>
    <w:p>
      <w:pPr>
        <w:pStyle w:val="71"/>
        <w:rPr>
          <w:rFonts w:ascii="宋体" w:cs="宋体"/>
          <w:color w:val="000000"/>
          <w:sz w:val="24"/>
          <w:szCs w:val="24"/>
        </w:rPr>
      </w:pPr>
    </w:p>
    <w:p>
      <w:pPr>
        <w:pStyle w:val="71"/>
        <w:wordWrap w:val="0"/>
        <w:ind w:right="1120" w:firstLine="5040"/>
        <w:rPr>
          <w:rFonts w:ascii="宋体" w:cs="宋体"/>
          <w:color w:val="000000"/>
          <w:sz w:val="24"/>
          <w:szCs w:val="24"/>
        </w:rPr>
      </w:pPr>
    </w:p>
    <w:p>
      <w:pPr>
        <w:pStyle w:val="71"/>
        <w:ind w:right="740"/>
        <w:jc w:val="right"/>
        <w:rPr>
          <w:rFonts w:ascii="宋体" w:cs="宋体"/>
          <w:color w:val="000000"/>
          <w:sz w:val="24"/>
          <w:szCs w:val="24"/>
        </w:rPr>
      </w:pPr>
      <w:r>
        <w:rPr>
          <w:rFonts w:ascii="宋体" w:cs="宋体" w:hint="eastAsia"/>
          <w:color w:val="000000"/>
          <w:sz w:val="24"/>
          <w:szCs w:val="24"/>
        </w:rPr>
        <w:t>质疑人单位法人代表签字：</w:t>
      </w:r>
    </w:p>
    <w:p>
      <w:pPr>
        <w:pStyle w:val="71"/>
        <w:ind w:right="740"/>
        <w:jc w:val="right"/>
        <w:rPr>
          <w:rFonts w:ascii="宋体" w:cs="宋体"/>
          <w:color w:val="000000"/>
          <w:sz w:val="24"/>
          <w:szCs w:val="24"/>
        </w:rPr>
      </w:pPr>
    </w:p>
    <w:p>
      <w:pPr>
        <w:pStyle w:val="71"/>
        <w:wordWrap w:val="0"/>
        <w:ind w:right="1120" w:firstLine="5040"/>
        <w:rPr>
          <w:rFonts w:ascii="宋体" w:cs="宋体"/>
          <w:color w:val="000000"/>
          <w:sz w:val="24"/>
          <w:szCs w:val="24"/>
        </w:rPr>
      </w:pPr>
      <w:r>
        <w:rPr>
          <w:rFonts w:ascii="宋体" w:cs="宋体" w:hint="eastAsia"/>
          <w:color w:val="000000"/>
          <w:sz w:val="24"/>
          <w:szCs w:val="24"/>
        </w:rPr>
        <w:t xml:space="preserve">质疑人单位全称（盖章）：日期：  </w:t>
      </w:r>
    </w:p>
    <w:p>
      <w:pPr>
        <w:pStyle w:val="71"/>
        <w:wordWrap w:val="0"/>
        <w:ind w:right="1120" w:firstLineChars="2800" w:firstLine="6720"/>
        <w:rPr>
          <w:rFonts w:ascii="宋体" w:cs="宋体"/>
          <w:color w:val="000000"/>
          <w:sz w:val="24"/>
          <w:szCs w:val="24"/>
        </w:rPr>
      </w:pPr>
      <w:r>
        <w:rPr>
          <w:rFonts w:ascii="宋体" w:cs="宋体" w:hint="eastAsia"/>
          <w:color w:val="000000"/>
          <w:sz w:val="24"/>
          <w:szCs w:val="24"/>
        </w:rPr>
        <w:t>年  月  日</w:t>
      </w:r>
    </w:p>
    <w:p>
      <w:pPr>
        <w:pStyle w:val="71"/>
        <w:rPr>
          <w:rFonts w:ascii="宋体" w:cs="宋体"/>
          <w:color w:val="000000"/>
          <w:sz w:val="24"/>
          <w:szCs w:val="24"/>
        </w:rPr>
      </w:pPr>
    </w:p>
    <w:p>
      <w:pPr>
        <w:pStyle w:val="71"/>
        <w:rPr>
          <w:rFonts w:ascii="宋体" w:cs="宋体"/>
          <w:color w:val="000000"/>
          <w:sz w:val="24"/>
          <w:szCs w:val="24"/>
        </w:rPr>
      </w:pPr>
      <w:r>
        <w:rPr>
          <w:rFonts w:ascii="宋体" w:cs="宋体" w:hint="eastAsia"/>
          <w:color w:val="000000"/>
          <w:sz w:val="24"/>
          <w:szCs w:val="24"/>
        </w:rPr>
        <w:t>注：1.供应商为自然人的，由本人签字；供应商为法人或者其他组织的，应当由法定代表人签字并加盖公章。</w:t>
      </w:r>
    </w:p>
    <w:p>
      <w:pPr>
        <w:pStyle w:val="71"/>
        <w:ind w:firstLine="315"/>
        <w:rPr>
          <w:rFonts w:ascii="宋体" w:cs="宋体"/>
          <w:color w:val="000000"/>
          <w:sz w:val="24"/>
          <w:szCs w:val="24"/>
          <w:highlight w:val="white"/>
        </w:rPr>
      </w:pPr>
      <w:r>
        <w:rPr>
          <w:rFonts w:ascii="宋体" w:cs="宋体" w:hint="eastAsia"/>
          <w:color w:val="000000"/>
          <w:kern w:val="0"/>
          <w:sz w:val="24"/>
          <w:szCs w:val="24"/>
          <w:highlight w:val="white"/>
        </w:rPr>
        <w:t>2.以代理商身份发起质疑的供应商须同时提供货物制造商出具的授权书，授权书应当载明具体权限、期限和相关事项，并由授权单位法人或授权代表人（授权代表人需另行提供授权函）签字并加盖单位公章</w:t>
      </w:r>
      <w:r>
        <w:rPr>
          <w:rFonts w:ascii="宋体" w:cs="宋体" w:hint="eastAsia"/>
          <w:color w:val="000000"/>
          <w:sz w:val="24"/>
          <w:szCs w:val="24"/>
          <w:highlight w:val="white"/>
        </w:rPr>
        <w:t>。</w:t>
      </w:r>
    </w:p>
    <w:p>
      <w:pPr>
        <w:pStyle w:val="74"/>
        <w:tabs>
          <w:tab w:val="left" w:pos="4377"/>
        </w:tabs>
        <w:ind w:left="0" w:right="39"/>
        <w:rPr>
          <w:rFonts w:ascii="宋体" w:eastAsia="宋体" w:cs="宋体"/>
          <w:color w:val="000000"/>
          <w:sz w:val="24"/>
          <w:szCs w:val="24"/>
          <w:lang w:eastAsia="zh-CN"/>
        </w:rPr>
      </w:pPr>
    </w:p>
    <w:p>
      <w:pPr>
        <w:rPr>
          <w:rFonts w:ascii="宋体" w:cs="宋体"/>
          <w:b/>
          <w:color w:val="000000"/>
          <w:sz w:val="24"/>
        </w:rPr>
      </w:pPr>
    </w:p>
    <w:p>
      <w:pPr>
        <w:rPr>
          <w:rFonts w:ascii="宋体" w:cs="宋体"/>
          <w:b/>
          <w:color w:val="000000"/>
          <w:sz w:val="24"/>
        </w:rPr>
      </w:pPr>
    </w:p>
    <w:p>
      <w:pPr>
        <w:rPr>
          <w:rFonts w:ascii="宋体" w:cs="宋体"/>
          <w:color w:val="000000"/>
          <w:sz w:val="24"/>
        </w:rPr>
      </w:pPr>
    </w:p>
    <w:p>
      <w:pPr>
        <w:rPr>
          <w:rFonts w:ascii="宋体" w:cs="宋体"/>
          <w:color w:val="000000"/>
          <w:sz w:val="24"/>
        </w:rPr>
      </w:pPr>
    </w:p>
    <w:p>
      <w:pPr>
        <w:rPr>
          <w:rFonts w:ascii="宋体" w:cs="宋体"/>
          <w:color w:val="000000"/>
          <w:sz w:val="24"/>
        </w:rPr>
      </w:pPr>
    </w:p>
    <w:p>
      <w:pPr>
        <w:rPr>
          <w:rFonts w:ascii="宋体" w:cs="宋体"/>
          <w:color w:val="000000"/>
          <w:sz w:val="24"/>
        </w:rPr>
      </w:pPr>
    </w:p>
    <w:p>
      <w:pPr>
        <w:rPr>
          <w:rFonts w:ascii="宋体" w:cs="宋体"/>
          <w:color w:val="000000"/>
          <w:sz w:val="24"/>
        </w:rPr>
      </w:pPr>
    </w:p>
    <w:p>
      <w:pPr>
        <w:rPr>
          <w:rFonts w:ascii="宋体" w:cs="宋体"/>
          <w:color w:val="000000"/>
          <w:sz w:val="24"/>
        </w:rPr>
      </w:pPr>
      <w:r>
        <w:rPr>
          <w:rFonts w:ascii="宋体" w:cs="宋体" w:hint="eastAsia"/>
          <w:color w:val="000000"/>
          <w:sz w:val="24"/>
        </w:rPr>
        <w:t>&lt;完&gt;</w:t>
      </w:r>
    </w:p>
    <w:p>
      <w:pPr>
        <w:spacing w:line="560" w:lineRule="exact"/>
        <w:rPr>
          <w:rFonts w:ascii="宋体" w:eastAsia="宋体"/>
          <w:sz w:val="24"/>
        </w:rPr>
      </w:pPr>
    </w:p>
    <w:sectPr>
      <w:headerReference w:type="default" r:id="rId5"/>
      <w:footerReference w:type="default" r:id="rId6"/>
      <w:footerReference w:type="even" r:id="rId7"/>
      <w:type w:val="nextColumn"/>
      <w:pgSz w:w="11906" w:h="16838"/>
      <w:pgMar w:top="1134" w:right="1134" w:bottom="1134" w:left="1247" w:header="567" w:footer="56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华文行楷">
    <w:altName w:val="微软雅黑"/>
    <w:panose1 w:val="00000000000000000000"/>
    <w:charset w:val="86"/>
    <w:family w:val="auto"/>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1"/>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仿宋_GB2312">
    <w:altName w:val="仿宋"/>
    <w:panose1 w:val="00000000000000000000"/>
    <w:charset w:val="86"/>
    <w:family w:val="modern"/>
    <w:pitch w:val="variable"/>
    <w:sig w:usb0="00000000" w:usb1="00000000" w:usb2="0000001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1"/>
    <w:family w:val="auto"/>
    <w:pitch w:val="variable"/>
    <w:sig w:usb0="E0002AFF" w:usb1="C0007841" w:usb2="00000009" w:usb3="00000000" w:csb0="400001FF" w:csb1="FFFF0000"/>
  </w:font>
  <w:font w:name="方正小标宋简体">
    <w:panose1 w:val="02000000000000000000"/>
    <w:charset w:val="86"/>
    <w:family w:val="auto"/>
    <w:pitch w:val="variable"/>
    <w:sig w:usb0="00000001" w:usb1="08000000" w:usb2="00000000" w:usb3="00000000" w:csb0="00040000" w:csb1="00000000"/>
  </w:font>
  <w:font w:name="Courier New">
    <w:panose1 w:val="02070309020205020404"/>
    <w:charset w:val="01"/>
    <w:family w:val="modern"/>
    <w:pitch w:val="variable"/>
    <w:sig w:usb0="E0002AFF" w:usb1="C0007843" w:usb2="00000009" w:usb3="00000000" w:csb0="400001FF" w:csb1="FFFF0000"/>
  </w:font>
  <w:font w:name="Cambria">
    <w:panose1 w:val="02040503050406030204"/>
    <w:charset w:val="00"/>
    <w:family w:val="roman"/>
    <w:pitch w:val="variable"/>
    <w:sig w:usb0="E00002FF" w:usb1="400004FF" w:usb2="00000000" w:usb3="00000000" w:csb0="2000019F" w:csb1="00000000"/>
  </w:font>
  <w:font w:name="Calibri">
    <w:panose1 w:val="020F0502020204030204"/>
    <w:charset w:val="00"/>
    <w:family w:val="swiss"/>
    <w:pitch w:val="variable"/>
    <w:sig w:usb0="E00002FF" w:usb1="4000ACFF" w:usb2="00000001" w:usb3="00000000" w:csb0="2000019F" w:csb1="00000000"/>
  </w:font>
  <w:font w:name="Microsoft JhengHei">
    <w:panose1 w:val="020B0604030504040204"/>
    <w:charset w:val="88"/>
    <w:family w:val="swiss"/>
    <w:pitch w:val="variable"/>
    <w:sig w:usb0="00000087" w:usb1="28AF4000" w:usb2="00000016" w:usb3="00000000" w:csb0="00100009"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42"/>
      </w:rPr>
    </w:pPr>
    <w:r>
      <w:rPr>
        <w:rStyle w:val="42"/>
      </w:rPr>
      <w:fldChar w:fldCharType="begin"/>
    </w:r>
    <w:r>
      <w:rPr>
        <w:rStyle w:val="42"/>
      </w:rPr>
      <w:instrText xml:space="preserve">PAGE  </w:instrText>
    </w:r>
    <w:r>
      <w:rPr>
        <w:rStyle w:val="42"/>
      </w:rPr>
      <w:fldChar w:fldCharType="separate"/>
    </w:r>
    <w:r>
      <w:rPr>
        <w:rStyle w:val="42"/>
      </w:rPr>
      <w:t>1</w:t>
    </w:r>
    <w:r>
      <w:rPr>
        <w:rStyle w:val="42"/>
      </w:rPr>
      <w:fldChar w:fldCharType="end"/>
    </w:r>
  </w:p>
  <w:p>
    <w:pPr>
      <w:pStyle w:val="2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42"/>
      </w:rPr>
    </w:pPr>
    <w:r>
      <w:rPr>
        <w:rStyle w:val="42"/>
      </w:rPr>
      <w:fldChar w:fldCharType="begin"/>
    </w:r>
    <w:r>
      <w:rPr>
        <w:rStyle w:val="42"/>
      </w:rPr>
      <w:instrText xml:space="preserve">PAGE  </w:instrText>
    </w:r>
    <w:r>
      <w:rPr>
        <w:rStyle w:val="42"/>
      </w:rPr>
      <w:fldChar w:fldCharType="separate"/>
    </w:r>
    <w:r>
      <w:rPr>
        <w:rStyle w:val="42"/>
      </w:rPr>
      <w:fldChar w:fldCharType="end"/>
    </w:r>
  </w:p>
  <w:p>
    <w:pPr>
      <w:pStyle w:val="27"/>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tabs>
        <w:tab w:val="center" w:pos="4153"/>
        <w:tab w:val="right" w:pos="8306"/>
      </w:tabs>
      <w:ind w:right="360"/>
      <w:jc w:val="center"/>
    </w:pPr>
    <w:r>
      <w:rPr>
        <w:rStyle w:val="42"/>
      </w:rPr>
      <w:fldChar w:fldCharType="begin"/>
    </w:r>
    <w:r>
      <w:rPr>
        <w:rStyle w:val="42"/>
      </w:rPr>
      <w:instrText xml:space="preserve"> PAGE </w:instrText>
    </w:r>
    <w:r>
      <w:rPr>
        <w:rStyle w:val="42"/>
      </w:rPr>
      <w:fldChar w:fldCharType="separate"/>
    </w:r>
    <w:r>
      <w:rPr>
        <w:rStyle w:val="42"/>
      </w:rPr>
      <w:t>44</w:t>
    </w:r>
    <w:r>
      <w:rPr>
        <w:rStyle w:val="42"/>
      </w:rP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42"/>
      </w:rPr>
    </w:pPr>
    <w:r>
      <w:rPr>
        <w:rStyle w:val="42"/>
      </w:rPr>
      <w:fldChar w:fldCharType="begin"/>
    </w:r>
    <w:r>
      <w:rPr>
        <w:rStyle w:val="42"/>
      </w:rPr>
      <w:instrText xml:space="preserve">PAGE  </w:instrText>
    </w:r>
    <w:r>
      <w:rPr>
        <w:rStyle w:val="42"/>
      </w:rPr>
      <w:fldChar w:fldCharType="separate"/>
    </w:r>
    <w:r>
      <w:rPr>
        <w:rStyle w:val="42"/>
      </w:rPr>
      <w:fldChar w:fldCharType="end"/>
    </w:r>
  </w:p>
  <w:p>
    <w:pPr>
      <w:pStyle w:val="27"/>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wordWrap w:val="0"/>
      <w:ind w:leftChars="-171" w:left="-217" w:hangingChars="68" w:hanging="142"/>
      <w:jc w:val="right"/>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Bdr>
        <w:bottom w:val="single" w:sz="4" w:space="1" w:color="auto"/>
      </w:pBdr>
      <w:ind w:leftChars="-171" w:left="-217" w:hangingChars="68" w:hanging="142"/>
      <w:jc w:val="center"/>
      <w:rPr>
        <w:szCs w:val="21"/>
      </w:rP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30A0AC8"/>
    <w:multiLevelType w:val="singleLevel"/>
    <w:tmpl w:val="C30A0AC8"/>
    <w:lvl w:ilvl="0">
      <w:start w:val="1"/>
      <w:numFmt w:val="chineseCounting"/>
      <w:lvlRestart w:val="0"/>
      <w:suff w:val="nothing"/>
      <w:lvlText w:val="%1、"/>
      <w:lvlJc w:val="left"/>
      <w:pPr>
        <w:ind w:left="0" w:hanging="0"/>
      </w:pPr>
      <w:rPr>
        <w:rFonts w:hint="eastAsia"/>
      </w:rPr>
    </w:lvl>
  </w:abstractNum>
  <w:abstractNum w:abstractNumId="1">
    <w:nsid w:val="43AE4701"/>
    <w:multiLevelType w:val="singleLevel"/>
    <w:tmpl w:val="43AE4701"/>
    <w:lvl w:ilvl="0">
      <w:start w:val="2"/>
      <w:numFmt w:val="chineseCounting"/>
      <w:lvlRestart w:val="0"/>
      <w:suff w:val="space"/>
      <w:lvlText w:val="第%1章"/>
      <w:lvlJc w:val="left"/>
      <w:pPr>
        <w:ind w:left="0" w:hanging="0"/>
      </w:pPr>
      <w:rPr>
        <w:rFonts w:hint="eastAsia"/>
      </w:rPr>
    </w:lvl>
  </w:abstractNum>
  <w:abstractNum w:abstractNumId="2">
    <w:nsid w:val="DFC4B329"/>
    <w:multiLevelType w:val="singleLevel"/>
    <w:tmpl w:val="DFC4B329"/>
    <w:lvl w:ilvl="0">
      <w:start w:val="1"/>
      <w:numFmt w:val="decimal"/>
      <w:lvlRestart w:val="0"/>
      <w:lvlText w:val="%1."/>
      <w:lvlJc w:val="left"/>
      <w:pPr>
        <w:ind w:left="0" w:hanging="0"/>
      </w:pPr>
    </w:lvl>
  </w:abstractNum>
  <w:abstractNum w:abstractNumId="3">
    <w:nsid w:val="17BE12A4"/>
    <w:multiLevelType w:val="singleLevel"/>
    <w:tmpl w:val="17BE12A4"/>
    <w:lvl w:ilvl="0">
      <w:start w:val="1"/>
      <w:numFmt w:val="decimal"/>
      <w:lvlRestart w:val="0"/>
      <w:suff w:val="nothing"/>
      <w:lvlText w:val="（%1）"/>
      <w:lvlJc w:val="left"/>
      <w:pPr>
        <w:ind w:left="0" w:hanging="0"/>
      </w:pPr>
    </w:lvl>
  </w:abstractNum>
  <w:abstractNum w:abstractNumId="4">
    <w:nsid w:val="68597569"/>
    <w:multiLevelType w:val="singleLevel"/>
    <w:tmpl w:val="68597569"/>
    <w:lvl w:ilvl="0">
      <w:start w:val="1"/>
      <w:numFmt w:val="decimal"/>
      <w:lvlRestart w:val="0"/>
      <w:lvlText w:val="%1."/>
      <w:lvlJc w:val="left"/>
      <w:pPr>
        <w:ind w:left="0" w:hanging="0"/>
      </w:pPr>
    </w:lvl>
  </w:abstractNum>
  <w:abstractNum w:abstractNumId="5">
    <w:nsid w:val="B9F82EC7"/>
    <w:multiLevelType w:val="singleLevel"/>
    <w:tmpl w:val="B9F82EC7"/>
    <w:lvl w:ilvl="0">
      <w:start w:val="1"/>
      <w:numFmt w:val="chineseCounting"/>
      <w:lvlRestart w:val="0"/>
      <w:suff w:val="space"/>
      <w:lvlText w:val="第%1条"/>
      <w:lvlJc w:val="left"/>
      <w:pPr>
        <w:ind w:left="0" w:hanging="0"/>
      </w:pPr>
      <w:rPr>
        <w:rFonts w:hint="eastAsia"/>
      </w:rPr>
    </w:lvl>
  </w:abstractNum>
  <w:abstractNum w:abstractNumId="6">
    <w:nsid w:val="F416260C"/>
    <w:multiLevelType w:val="singleLevel"/>
    <w:tmpl w:val="F416260C"/>
    <w:lvl w:ilvl="0">
      <w:start w:val="5"/>
      <w:numFmt w:val="chineseCounting"/>
      <w:lvlRestart w:val="0"/>
      <w:suff w:val="nothing"/>
      <w:lvlText w:val="第%1章"/>
      <w:lvlJc w:val="left"/>
      <w:pPr>
        <w:ind w:left="-140" w:firstLine="140"/>
      </w:pPr>
      <w:rPr>
        <w:rFonts w:hint="eastAsia"/>
      </w:rPr>
    </w:lvl>
  </w:abstractNum>
  <w:abstractNum w:abstractNumId="7">
    <w:nsid w:val="4CE7EA94"/>
    <w:multiLevelType w:val="singleLevel"/>
    <w:tmpl w:val="4CE7EA94"/>
    <w:lvl w:ilvl="0">
      <w:start w:val="1"/>
      <w:numFmt w:val="chineseCounting"/>
      <w:lvlRestart w:val="0"/>
      <w:suff w:val="nothing"/>
      <w:lvlText w:val="（%1）"/>
      <w:lvlJc w:val="left"/>
      <w:pPr>
        <w:ind w:left="0" w:hanging="0"/>
      </w:pPr>
      <w:rPr>
        <w:rFonts w:hint="eastAsia"/>
      </w:rPr>
    </w:lvl>
  </w:abstractNum>
  <w:abstractNum w:abstractNumId="8">
    <w:nsid w:val="3787F8B0"/>
    <w:multiLevelType w:val="singleLevel"/>
    <w:tmpl w:val="3787F8B0"/>
    <w:lvl w:ilvl="0">
      <w:start w:val="4"/>
      <w:numFmt w:val="chineseCounting"/>
      <w:lvlRestart w:val="0"/>
      <w:suff w:val="nothing"/>
      <w:lvlText w:val="%1、"/>
      <w:lvlJc w:val="left"/>
      <w:pPr>
        <w:ind w:left="0" w:hanging="0"/>
      </w:pPr>
      <w:rPr>
        <w:rFonts w:hint="eastAsia"/>
      </w:rPr>
    </w:lvl>
  </w:abstractNum>
  <w:abstractNum w:abstractNumId="9">
    <w:nsid w:val="5FA57B86"/>
    <w:multiLevelType w:val="multilevel"/>
    <w:tmpl w:val="5FA57B86"/>
    <w:lvl w:ilvl="0">
      <w:start w:val="1"/>
      <w:numFmt w:val="upperLetter"/>
      <w:lvlRestart w:val="0"/>
      <w:pStyle w:val="17"/>
      <w:lvlText w:val="%1."/>
      <w:lvlJc w:val="left"/>
      <w:pPr>
        <w:ind w:left="360" w:hanging="360"/>
      </w:pPr>
      <w:rPr>
        <w:rFonts w:hint="eastAsia"/>
      </w:rPr>
    </w:lvl>
    <w:lvl w:ilvl="1">
      <w:start w:val="1"/>
      <w:numFmt w:val="decimal"/>
      <w:lvlText w:val="%2．"/>
      <w:lvlJc w:val="left"/>
      <w:pPr>
        <w:ind w:left="1140" w:hanging="720"/>
      </w:pPr>
      <w:rPr>
        <w:rFonts w:hint="eastAsia"/>
      </w:rPr>
    </w:lvl>
    <w:lvl w:ilvl="2">
      <w:start w:val="1"/>
      <w:numFmt w:val="decimal"/>
      <w:lvlText w:val="（%3）"/>
      <w:lvlJc w:val="left"/>
      <w:pPr>
        <w:ind w:left="1920" w:hanging="108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E627004B"/>
    <w:multiLevelType w:val="multilevel"/>
    <w:tmpl w:val="E627004B"/>
    <w:lvl w:ilvl="0">
      <w:start w:val="0"/>
      <w:numFmt w:val="decimal"/>
      <w:lvlRestart w:val="0"/>
      <w:pStyle w:val="63"/>
      <w:lvlJc w:val="left"/>
      <w:pPr>
        <w:ind w:left="0" w:hanging="0"/>
      </w:pPr>
    </w:lvl>
    <w:lvl w:ilvl="1">
      <w:start w:val="0"/>
      <w:numFmt w:val="decimal"/>
      <w:lvlJc w:val="left"/>
      <w:pPr>
        <w:ind w:left="0" w:hanging="0"/>
      </w:pPr>
    </w:lvl>
    <w:lvl w:ilvl="2">
      <w:start w:val="0"/>
      <w:numFmt w:val="decimal"/>
      <w:lvlJc w:val="left"/>
      <w:pPr>
        <w:ind w:left="0" w:hanging="0"/>
      </w:pPr>
    </w:lvl>
    <w:lvl w:ilvl="3">
      <w:start w:val="0"/>
      <w:numFmt w:val="decimal"/>
      <w:lvlJc w:val="left"/>
      <w:pPr>
        <w:ind w:left="0" w:hanging="0"/>
      </w:pPr>
    </w:lvl>
    <w:lvl w:ilvl="4">
      <w:start w:val="0"/>
      <w:numFmt w:val="decimal"/>
      <w:lvlJc w:val="left"/>
      <w:pPr>
        <w:ind w:left="0" w:hanging="0"/>
      </w:pPr>
    </w:lvl>
    <w:lvl w:ilvl="5">
      <w:start w:val="0"/>
      <w:numFmt w:val="decimal"/>
      <w:lvlJc w:val="left"/>
      <w:pPr>
        <w:ind w:left="0" w:hanging="0"/>
      </w:pPr>
    </w:lvl>
    <w:lvl w:ilvl="6">
      <w:start w:val="0"/>
      <w:numFmt w:val="decimal"/>
      <w:lvlJc w:val="left"/>
      <w:pPr>
        <w:ind w:left="0" w:hanging="0"/>
      </w:pPr>
    </w:lvl>
    <w:lvl w:ilvl="7">
      <w:start w:val="0"/>
      <w:numFmt w:val="decimal"/>
      <w:lvlJc w:val="left"/>
      <w:pPr>
        <w:ind w:left="0" w:hanging="0"/>
      </w:pPr>
    </w:lvl>
    <w:lvl w:ilvl="8">
      <w:start w:val="0"/>
      <w:numFmt w:val="decimal"/>
      <w:lvlJc w:val="left"/>
      <w:pPr>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2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OWZjZDg4YTVkNzA3YTc3Yjk0M2I3N2E0NWM4OThkO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autoRedefine/>
    <w:next w:val="0"/>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0"/>
    <w:autoRedefine/>
    <w:next w:val="15"/>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0"/>
    <w:autoRedefine/>
    <w:next w:val="0"/>
    <w:pPr>
      <w:keepNext/>
      <w:keepLines/>
      <w:widowControl w:val="0"/>
      <w:spacing w:before="260" w:after="260" w:line="415" w:lineRule="auto"/>
      <w:outlineLvl w:val="2"/>
    </w:pPr>
    <w:rPr>
      <w:b/>
      <w:bCs/>
      <w:sz w:val="32"/>
      <w:szCs w:val="32"/>
    </w:rPr>
  </w:style>
  <w:style w:type="paragraph" w:styleId="4">
    <w:name w:val="heading 4"/>
    <w:basedOn w:val="0"/>
    <w:autoRedefine/>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autoRedefine/>
    <w:next w:val="0"/>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0"/>
    <w:autoRedefine/>
    <w:next w:val="0"/>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0"/>
    <w:autoRedefine/>
    <w:next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0"/>
    <w:autoRedefine/>
    <w:next w:val="0"/>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0"/>
    <w:autoRedefine/>
    <w:next w:val="0"/>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10">
    <w:name w:val="Default Paragraph Font"/>
  </w:style>
  <w:style w:type="paragraph" w:customStyle="1" w:styleId="15">
    <w:name w:val="正文N"/>
    <w:basedOn w:val="0"/>
    <w:autoRedefine/>
    <w:pPr>
      <w:spacing w:line="560" w:lineRule="exact"/>
      <w:ind w:firstLineChars="200" w:firstLine="200"/>
      <w:jc w:val="left"/>
    </w:pPr>
    <w:rPr>
      <w:rFonts w:eastAsia="仿宋_GB2312"/>
      <w:szCs w:val="28"/>
    </w:rPr>
  </w:style>
  <w:style w:type="paragraph" w:styleId="16">
    <w:name w:val="Normal Indent"/>
    <w:basedOn w:val="0"/>
    <w:autoRedefine/>
    <w:pPr>
      <w:ind w:firstLineChars="200" w:firstLine="200"/>
    </w:pPr>
  </w:style>
  <w:style w:type="paragraph" w:styleId="17">
    <w:name w:val="caption"/>
    <w:basedOn w:val="0"/>
    <w:autoRedefine/>
    <w:next w:val="0"/>
    <w:pPr>
      <w:numPr>
        <w:ilvl w:val="0"/>
        <w:numId w:val="10"/>
      </w:numPr>
      <w:spacing w:line="480" w:lineRule="exact"/>
    </w:pPr>
    <w:rPr>
      <w:rFonts w:ascii="仿宋_GB2312" w:eastAsia="仿宋_GB2312"/>
      <w:sz w:val="30"/>
    </w:rPr>
  </w:style>
  <w:style w:type="paragraph" w:styleId="18">
    <w:name w:val="annotation text"/>
    <w:basedOn w:val="0"/>
    <w:autoRedefine/>
    <w:pPr>
      <w:adjustRightInd w:val="0"/>
      <w:spacing w:line="360" w:lineRule="atLeast"/>
      <w:jc w:val="left"/>
      <w:textAlignment w:val="baseline"/>
    </w:pPr>
    <w:rPr>
      <w:kern w:val="0"/>
      <w:sz w:val="24"/>
      <w:szCs w:val="20"/>
    </w:rPr>
  </w:style>
  <w:style w:type="paragraph" w:styleId="19">
    <w:name w:val="Body Text"/>
    <w:basedOn w:val="0"/>
    <w:autoRedefine/>
    <w:next w:val="20"/>
    <w:rPr>
      <w:rFonts w:ascii="仿宋_GB2312" w:eastAsia="仿宋_GB2312"/>
      <w:sz w:val="28"/>
    </w:rPr>
  </w:style>
  <w:style w:type="paragraph" w:styleId="20">
    <w:name w:val="Body Text Indent"/>
    <w:basedOn w:val="0"/>
    <w:autoRedefine/>
    <w:pPr>
      <w:ind w:firstLine="630"/>
    </w:pPr>
    <w:rPr>
      <w:rFonts w:eastAsia="仿宋_GB2312"/>
      <w:b/>
      <w:bCs/>
      <w:sz w:val="32"/>
    </w:rPr>
  </w:style>
  <w:style w:type="paragraph" w:styleId="21">
    <w:name w:val="index 4"/>
    <w:basedOn w:val="0"/>
    <w:autoRedefine/>
    <w:next w:val="0"/>
    <w:pPr>
      <w:ind w:leftChars="600" w:left="600"/>
    </w:pPr>
  </w:style>
  <w:style w:type="paragraph" w:styleId="22">
    <w:name w:val="toc 3"/>
    <w:basedOn w:val="0"/>
    <w:autoRedefine/>
    <w:next w:val="0"/>
    <w:pPr>
      <w:widowControl/>
      <w:ind w:left="400" w:right="255"/>
    </w:pPr>
    <w:rPr>
      <w:kern w:val="0"/>
      <w:sz w:val="24"/>
      <w:szCs w:val="20"/>
    </w:rPr>
  </w:style>
  <w:style w:type="paragraph" w:styleId="23">
    <w:name w:val="Plain Text"/>
    <w:basedOn w:val="0"/>
    <w:autoRedefine/>
    <w:pPr>
      <w:spacing w:line="360" w:lineRule="auto"/>
    </w:pPr>
    <w:rPr>
      <w:rFonts w:ascii="宋体"/>
      <w:szCs w:val="21"/>
    </w:rPr>
  </w:style>
  <w:style w:type="paragraph" w:styleId="24">
    <w:name w:val="Date"/>
    <w:basedOn w:val="0"/>
    <w:autoRedefine/>
    <w:next w:val="0"/>
    <w:rPr>
      <w:sz w:val="24"/>
      <w:szCs w:val="20"/>
    </w:rPr>
  </w:style>
  <w:style w:type="paragraph" w:styleId="25">
    <w:name w:val="Body Text Indent 2"/>
    <w:basedOn w:val="0"/>
    <w:autoRedefine/>
    <w:pPr>
      <w:spacing w:line="400" w:lineRule="exact"/>
      <w:ind w:firstLineChars="192" w:firstLine="192"/>
    </w:pPr>
    <w:rPr>
      <w:rFonts w:ascii="宋体"/>
      <w:sz w:val="24"/>
    </w:rPr>
  </w:style>
  <w:style w:type="paragraph" w:styleId="26">
    <w:name w:val="Balloon Text"/>
    <w:basedOn w:val="0"/>
    <w:autoRedefine/>
    <w:rPr>
      <w:sz w:val="18"/>
      <w:szCs w:val="18"/>
    </w:rPr>
  </w:style>
  <w:style w:type="paragraph" w:styleId="27">
    <w:name w:val="footer"/>
    <w:basedOn w:val="0"/>
    <w:autoRedefine/>
    <w:pPr>
      <w:tabs>
        <w:tab w:val="center" w:pos="4153"/>
        <w:tab w:val="right" w:pos="8306"/>
      </w:tabs>
      <w:snapToGrid w:val="0"/>
      <w:jc w:val="left"/>
    </w:pPr>
    <w:rPr>
      <w:sz w:val="18"/>
      <w:szCs w:val="18"/>
    </w:rPr>
  </w:style>
  <w:style w:type="paragraph" w:styleId="28">
    <w:name w:val="header"/>
    <w:basedOn w:val="0"/>
    <w:autoRedefine/>
    <w:pPr>
      <w:pBdr>
        <w:bottom w:val="single" w:sz="6" w:space="1" w:color="auto"/>
      </w:pBdr>
      <w:tabs>
        <w:tab w:val="center" w:pos="4153"/>
        <w:tab w:val="right" w:pos="8306"/>
      </w:tabs>
      <w:snapToGrid w:val="0"/>
      <w:jc w:val="center"/>
    </w:pPr>
    <w:rPr>
      <w:sz w:val="18"/>
      <w:szCs w:val="18"/>
    </w:rPr>
  </w:style>
  <w:style w:type="paragraph" w:styleId="29">
    <w:name w:val="toc 1"/>
    <w:basedOn w:val="0"/>
    <w:autoRedefine/>
    <w:next w:val="0"/>
  </w:style>
  <w:style w:type="paragraph" w:styleId="30">
    <w:name w:val="footnote text"/>
    <w:basedOn w:val="0"/>
    <w:autoRedefine/>
    <w:pPr>
      <w:snapToGrid w:val="0"/>
      <w:jc w:val="left"/>
    </w:pPr>
    <w:rPr>
      <w:sz w:val="18"/>
    </w:rPr>
  </w:style>
  <w:style w:type="paragraph" w:styleId="31">
    <w:name w:val="Body Text Indent 3"/>
    <w:basedOn w:val="0"/>
    <w:autoRedefine/>
    <w:pPr>
      <w:spacing w:line="440" w:lineRule="exact"/>
      <w:ind w:firstLineChars="192" w:firstLine="192"/>
    </w:pPr>
    <w:rPr>
      <w:sz w:val="28"/>
    </w:rPr>
  </w:style>
  <w:style w:type="paragraph" w:styleId="32">
    <w:name w:val="index 7"/>
    <w:basedOn w:val="0"/>
    <w:autoRedefine/>
    <w:next w:val="0"/>
    <w:pPr>
      <w:ind w:left="2520"/>
    </w:pPr>
  </w:style>
  <w:style w:type="paragraph" w:styleId="33">
    <w:name w:val="toc 9"/>
    <w:basedOn w:val="0"/>
    <w:next w:val="0"/>
    <w:pPr>
      <w:ind w:left="3360"/>
    </w:pPr>
  </w:style>
  <w:style w:type="paragraph" w:styleId="34">
    <w:name w:val="Body Text 2"/>
    <w:basedOn w:val="0"/>
    <w:autoRedefine/>
    <w:pPr>
      <w:spacing w:after="120" w:line="480" w:lineRule="auto"/>
    </w:pPr>
  </w:style>
  <w:style w:type="paragraph" w:styleId="35">
    <w:name w:val="Normal (Web)"/>
    <w:basedOn w:val="0"/>
    <w:autoRedefine/>
    <w:pPr>
      <w:widowControl/>
      <w:spacing w:before="100" w:beforeAutospacing="1" w:after="100" w:afterAutospacing="1"/>
      <w:jc w:val="left"/>
    </w:pPr>
    <w:rPr>
      <w:rFonts w:ascii="宋体"/>
      <w:kern w:val="0"/>
      <w:sz w:val="24"/>
    </w:rPr>
  </w:style>
  <w:style w:type="paragraph" w:styleId="36">
    <w:name w:val="index 1"/>
    <w:basedOn w:val="0"/>
    <w:autoRedefine/>
    <w:next w:val="0"/>
  </w:style>
  <w:style w:type="paragraph" w:styleId="37">
    <w:name w:val="Title"/>
    <w:basedOn w:val="0"/>
    <w:autoRedefine/>
    <w:pPr>
      <w:widowControl/>
      <w:spacing w:after="240" w:line="360" w:lineRule="auto"/>
      <w:jc w:val="center"/>
    </w:pPr>
    <w:rPr>
      <w:rFonts w:ascii="Arial" w:hAnsi="Arial"/>
      <w:b/>
      <w:caps w:val="0"/>
      <w:smallCaps/>
      <w:kern w:val="28"/>
      <w:sz w:val="36"/>
      <w:szCs w:val="20"/>
      <w:lang w:eastAsia="en-US"/>
    </w:rPr>
  </w:style>
  <w:style w:type="paragraph" w:styleId="38">
    <w:name w:val="annotation subject"/>
    <w:basedOn w:val="18"/>
    <w:autoRedefine/>
    <w:next w:val="18"/>
    <w:pPr>
      <w:adjustRightInd/>
      <w:spacing w:line="240" w:lineRule="auto"/>
      <w:textAlignment w:val="auto"/>
    </w:pPr>
    <w:rPr>
      <w:b/>
      <w:bCs/>
      <w:kern w:val="2"/>
      <w:sz w:val="21"/>
      <w:szCs w:val="24"/>
    </w:rPr>
  </w:style>
  <w:style w:type="paragraph" w:styleId="39">
    <w:name w:val="Body Text First Indent"/>
    <w:basedOn w:val="19"/>
    <w:autoRedefine/>
    <w:pPr>
      <w:tabs>
        <w:tab w:val="left" w:pos="567"/>
      </w:tabs>
      <w:spacing w:after="120"/>
      <w:ind w:firstLineChars="100" w:firstLine="100"/>
    </w:pPr>
    <w:rPr>
      <w:rFonts w:ascii="Times New Roman" w:hAnsi="Times New Roman"/>
    </w:rPr>
  </w:style>
  <w:style w:type="paragraph" w:styleId="40">
    <w:name w:val="Body Text First Indent 2"/>
    <w:basedOn w:val="0"/>
    <w:autoRedefine/>
    <w:next w:val="0"/>
    <w:pPr>
      <w:spacing w:after="120"/>
      <w:ind w:leftChars="200" w:left="200" w:firstLineChars="200" w:firstLine="200"/>
    </w:pPr>
  </w:style>
  <w:style w:type="character" w:styleId="41">
    <w:name w:val="Strong"/>
    <w:basedOn w:val="10"/>
    <w:autoRedefine/>
    <w:rPr>
      <w:b/>
      <w:bCs/>
    </w:rPr>
  </w:style>
  <w:style w:type="character" w:styleId="42">
    <w:name w:val="page number"/>
    <w:basedOn w:val="10"/>
  </w:style>
  <w:style w:type="character" w:styleId="43">
    <w:name w:val="FollowedHyperlink"/>
    <w:basedOn w:val="10"/>
    <w:autoRedefine/>
    <w:rPr>
      <w:color w:val="800080"/>
      <w:u w:val="single"/>
    </w:rPr>
  </w:style>
  <w:style w:type="character" w:styleId="44">
    <w:name w:val="Hyperlink"/>
    <w:basedOn w:val="10"/>
    <w:autoRedefine/>
    <w:rPr>
      <w:color w:val="0000FF"/>
      <w:u w:val="single"/>
    </w:rPr>
  </w:style>
  <w:style w:type="character" w:styleId="45">
    <w:name w:val="annotation reference"/>
    <w:basedOn w:val="10"/>
    <w:autoRedefine/>
    <w:rPr>
      <w:sz w:val="21"/>
      <w:szCs w:val="21"/>
    </w:rPr>
  </w:style>
  <w:style w:type="character" w:styleId="46">
    <w:name w:val="footnote reference"/>
    <w:basedOn w:val="10"/>
    <w:autoRedefine/>
    <w:rPr>
      <w:vertAlign w:val="superscript"/>
    </w:rPr>
  </w:style>
  <w:style w:type="paragraph" w:customStyle="1" w:styleId="47">
    <w:name w:val="正文缩2"/>
    <w:autoRedefine/>
    <w:pPr>
      <w:spacing w:line="360" w:lineRule="auto"/>
      <w:ind w:firstLineChars="100" w:firstLine="100"/>
    </w:pPr>
    <w:rPr>
      <w:rFonts w:ascii="Times New Roman" w:eastAsia="宋体" w:cs="Times New Roman" w:hAnsi="Times New Roman"/>
      <w:color w:val="FF0000"/>
      <w:sz w:val="24"/>
      <w:szCs w:val="24"/>
      <w:lang w:val="en-US" w:eastAsia="zh-CN" w:bidi="ar-SA"/>
    </w:rPr>
  </w:style>
  <w:style w:type="paragraph" w:customStyle="1" w:styleId="48">
    <w:name w:val="目录 53"/>
    <w:autoRedefine/>
    <w:next w:val="0"/>
    <w:pPr>
      <w:wordWrap w:val="0"/>
      <w:ind w:left="1275"/>
      <w:jc w:val="both"/>
    </w:pPr>
    <w:rPr>
      <w:rFonts w:ascii="Times New Roman" w:eastAsia="宋体" w:cs="Times New Roman" w:hAnsi="Times New Roman"/>
      <w:sz w:val="21"/>
      <w:lang w:val="en-US" w:eastAsia="zh-CN" w:bidi="ar-SA"/>
    </w:rPr>
  </w:style>
  <w:style w:type="paragraph" w:customStyle="1" w:styleId="49">
    <w:name w:val="目录文字"/>
    <w:basedOn w:val="0"/>
    <w:autoRedefine/>
    <w:pPr>
      <w:widowControl/>
      <w:spacing w:line="480" w:lineRule="auto"/>
      <w:jc w:val="left"/>
    </w:pPr>
    <w:rPr>
      <w:rFonts w:ascii="宋体"/>
      <w:kern w:val="0"/>
      <w:sz w:val="24"/>
      <w:szCs w:val="20"/>
    </w:rPr>
  </w:style>
  <w:style w:type="paragraph" w:customStyle="1" w:styleId="50">
    <w:name w:val="样式1"/>
    <w:basedOn w:val="0"/>
    <w:pPr>
      <w:spacing w:before="120" w:after="120" w:line="300" w:lineRule="auto"/>
    </w:pPr>
    <w:rPr>
      <w:rFonts w:ascii="宋体"/>
      <w:b/>
      <w:sz w:val="24"/>
      <w:szCs w:val="20"/>
    </w:rPr>
  </w:style>
  <w:style w:type="paragraph" w:customStyle="1" w:styleId="51">
    <w:name w:val="Preformatted"/>
    <w:basedOn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2">
    <w:name w:val="1"/>
    <w:basedOn w:val="0"/>
    <w:autoRedefine/>
    <w:next w:val="34"/>
    <w:rPr>
      <w:b/>
    </w:rPr>
  </w:style>
  <w:style w:type="paragraph" w:customStyle="1" w:styleId="53">
    <w:name w:val="目录"/>
    <w:basedOn w:val="0"/>
    <w:autoRedefine/>
    <w:pPr>
      <w:widowControl/>
      <w:jc w:val="center"/>
    </w:pPr>
    <w:rPr>
      <w:rFonts w:ascii="宋体"/>
      <w:b/>
      <w:kern w:val="0"/>
      <w:sz w:val="36"/>
      <w:szCs w:val="20"/>
    </w:rPr>
  </w:style>
  <w:style w:type="paragraph" w:customStyle="1" w:styleId="54">
    <w:name w:val="正文1"/>
    <w:pPr>
      <w:widowControl w:val="0"/>
      <w:adjustRightInd w:val="0"/>
      <w:spacing w:line="312" w:lineRule="atLeast"/>
      <w:jc w:val="both"/>
      <w:textAlignment w:val="baseline"/>
    </w:pPr>
    <w:rPr>
      <w:rFonts w:ascii="宋体" w:eastAsia="宋体" w:cs="Times New Roman"/>
      <w:sz w:val="34"/>
      <w:lang w:val="en-US" w:eastAsia="zh-CN" w:bidi="ar-SA"/>
    </w:rPr>
  </w:style>
  <w:style w:type="character" w:customStyle="1" w:styleId="55">
    <w:name w:val="Para head"/>
    <w:basedOn w:val="10"/>
    <w:rPr>
      <w:rFonts w:ascii="Arial" w:eastAsia="Times New Roman" w:hAnsi="Arial"/>
      <w:sz w:val="20"/>
    </w:rPr>
  </w:style>
  <w:style w:type="paragraph" w:customStyle="1" w:styleId="56">
    <w:name w:val="菲页2"/>
    <w:basedOn w:val="3"/>
    <w:autoRedefine/>
    <w:pPr>
      <w:keepNext/>
      <w:keepLines/>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57">
    <w:name w:val="菲页1"/>
    <w:basedOn w:val="2"/>
    <w:autoRedefine/>
    <w:rPr>
      <w:rFonts w:ascii="黑体"/>
      <w:b w:val="0"/>
      <w:sz w:val="52"/>
    </w:rPr>
  </w:style>
  <w:style w:type="paragraph" w:customStyle="1" w:styleId="58">
    <w:name w:val="菲页(卷)"/>
    <w:basedOn w:val="1"/>
    <w:next w:val="54"/>
    <w:pPr>
      <w:tabs>
        <w:tab w:val="clear" w:pos="432"/>
        <w:tab w:val="left" w:pos="360"/>
      </w:tabs>
      <w:ind w:left="360" w:hanging="360"/>
      <w:outlineLvl w:val="1"/>
    </w:pPr>
  </w:style>
  <w:style w:type="paragraph" w:customStyle="1" w:styleId="59">
    <w:name w:val="TOC 标题1"/>
    <w:basedOn w:val="1"/>
    <w:autoRedefine/>
    <w:next w:val="0"/>
    <w:pPr>
      <w:keepNext/>
      <w:keepLines/>
      <w:widowControl/>
      <w:tabs>
        <w:tab w:val="clear" w:pos="432"/>
      </w:tabs>
      <w:spacing w:before="480" w:line="276" w:lineRule="auto"/>
      <w:ind w:left="0" w:firstLine="0"/>
      <w:jc w:val="left"/>
      <w:outlineLvl w:val="9"/>
    </w:pPr>
    <w:rPr>
      <w:rFonts w:ascii="Cambria" w:eastAsia="宋体" w:cs="Times New Roman" w:hAnsi="Cambria"/>
      <w:b/>
      <w:bCs/>
      <w:color w:val="376092"/>
      <w:sz w:val="28"/>
      <w:szCs w:val="28"/>
    </w:rPr>
  </w:style>
  <w:style w:type="paragraph" w:customStyle="1" w:styleId="60">
    <w:name w:val="List Paragraph"/>
    <w:basedOn w:val="0"/>
    <w:autoRedefine/>
    <w:pPr>
      <w:ind w:firstLineChars="200" w:firstLine="200"/>
    </w:pPr>
    <w:rPr>
      <w:rFonts w:ascii="Calibri" w:eastAsia="宋体" w:cs="Arial" w:hAnsi="Calibri"/>
      <w:szCs w:val="22"/>
    </w:rPr>
  </w:style>
  <w:style w:type="paragraph" w:customStyle="1" w:styleId="61">
    <w:name w:val="No Spacing"/>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62">
    <w:name w:val="修订1"/>
    <w:rPr>
      <w:rFonts w:ascii="Times New Roman" w:eastAsia="宋体" w:cs="Times New Roman" w:hAnsi="Times New Roman"/>
      <w:kern w:val="2"/>
      <w:sz w:val="21"/>
      <w:szCs w:val="24"/>
      <w:lang w:val="en-US" w:eastAsia="zh-CN" w:bidi="ar-SA"/>
    </w:rPr>
  </w:style>
  <w:style w:type="paragraph" w:customStyle="1" w:styleId="63">
    <w:name w:val="样式 3 10 磅"/>
    <w:pPr>
      <w:widowControl w:val="0"/>
      <w:numPr>
        <w:ilvl w:val="0"/>
        <w:numId w:val="11"/>
      </w:numPr>
      <w:jc w:val="both"/>
    </w:pPr>
    <w:rPr>
      <w:rFonts w:ascii="宋体" w:eastAsia="宋体" w:cs="Times New Roman"/>
      <w:kern w:val="2"/>
      <w:sz w:val="21"/>
      <w:szCs w:val="21"/>
      <w:lang w:val="en-US" w:eastAsia="zh-CN" w:bidi="ar-SA"/>
    </w:rPr>
  </w:style>
  <w:style w:type="paragraph" w:customStyle="1" w:styleId="64">
    <w:name w:val="正文_3"/>
    <w:pPr>
      <w:widowControl w:val="0"/>
      <w:jc w:val="both"/>
    </w:pPr>
    <w:rPr>
      <w:rFonts w:ascii="Times New Roman" w:eastAsia="宋体" w:cs="Times New Roman" w:hAnsi="Times New Roman"/>
      <w:kern w:val="2"/>
      <w:sz w:val="21"/>
      <w:lang w:val="en-US" w:eastAsia="zh-CN" w:bidi="ar-SA"/>
    </w:rPr>
  </w:style>
  <w:style w:type="paragraph" w:customStyle="1" w:styleId="65">
    <w:name w:val="样式 343 10 磅"/>
    <w:autoRedefine/>
    <w:pPr>
      <w:widowControl w:val="0"/>
      <w:jc w:val="both"/>
    </w:pPr>
    <w:rPr>
      <w:rFonts w:ascii="Times New Roman" w:eastAsia="宋体" w:cs="Times New Roman" w:hAnsi="Times New Roman"/>
      <w:kern w:val="2"/>
      <w:sz w:val="21"/>
      <w:szCs w:val="22"/>
      <w:lang w:val="en-US" w:eastAsia="zh-CN" w:bidi="ar-SA"/>
    </w:rPr>
  </w:style>
  <w:style w:type="paragraph" w:customStyle="1" w:styleId="66">
    <w:name w:val="样式 小四"/>
    <w:autoRedefine/>
    <w:pPr>
      <w:spacing w:before="100" w:beforeAutospacing="1" w:after="100" w:afterAutospacing="1" w:line="360" w:lineRule="auto"/>
      <w:jc w:val="both"/>
      <w:textAlignment w:val="top"/>
    </w:pPr>
    <w:rPr>
      <w:rFonts w:ascii="Times New Roman" w:eastAsia="宋体" w:cs="Times New Roman" w:hAnsi="Times New Roman"/>
      <w:sz w:val="24"/>
      <w:szCs w:val="24"/>
      <w:lang w:val="en-US" w:eastAsia="zh-CN" w:bidi="ar-SA"/>
    </w:rPr>
  </w:style>
  <w:style w:type="paragraph" w:customStyle="1" w:styleId="67">
    <w:name w:val="正文34"/>
    <w:pPr>
      <w:widowControl w:val="0"/>
      <w:jc w:val="both"/>
    </w:pPr>
    <w:rPr>
      <w:rFonts w:ascii="Times New Roman" w:eastAsia="宋体" w:cs="Times New Roman" w:hAnsi="Times New Roman"/>
      <w:kern w:val="2"/>
      <w:sz w:val="21"/>
      <w:szCs w:val="24"/>
      <w:lang w:val="en-US" w:eastAsia="zh-CN" w:bidi="ar-SA"/>
    </w:rPr>
  </w:style>
  <w:style w:type="paragraph" w:customStyle="1" w:styleId="68">
    <w:name w:val="正文33"/>
    <w:autoRedefine/>
    <w:pPr>
      <w:widowControl w:val="0"/>
      <w:jc w:val="both"/>
    </w:pPr>
    <w:rPr>
      <w:rFonts w:ascii="Calibri" w:eastAsia="宋体" w:cs="Times New Roman" w:hAnsi="Calibri"/>
      <w:kern w:val="2"/>
      <w:sz w:val="21"/>
      <w:szCs w:val="22"/>
      <w:lang w:val="en-US" w:eastAsia="zh-CN" w:bidi="ar-SA"/>
    </w:rPr>
  </w:style>
  <w:style w:type="character" w:customStyle="1" w:styleId="69">
    <w:name w:val="标题 Char"/>
    <w:autoRedefine/>
    <w:rPr>
      <w:rFonts w:ascii="Arial" w:hAnsi="Arial"/>
      <w:b/>
      <w:caps w:val="0"/>
      <w:smallCaps/>
      <w:kern w:val="28"/>
      <w:sz w:val="36"/>
      <w:lang w:eastAsia="en-US"/>
    </w:rPr>
  </w:style>
  <w:style w:type="paragraph" w:customStyle="1" w:styleId="70">
    <w:name w:val="标题 22"/>
    <w:next w:val="0"/>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paragraph" w:customStyle="1" w:styleId="71">
    <w:name w:val="正文_6"/>
    <w:autoRedefine/>
    <w:next w:val="0"/>
    <w:pPr>
      <w:widowControl w:val="0"/>
      <w:jc w:val="both"/>
    </w:pPr>
    <w:rPr>
      <w:rFonts w:ascii="Calibri" w:eastAsia="宋体" w:cs="Times New Roman" w:hAnsi="Calibri"/>
      <w:kern w:val="2"/>
      <w:sz w:val="21"/>
      <w:lang w:val="en-US" w:eastAsia="zh-CN" w:bidi="ar-SA"/>
    </w:rPr>
  </w:style>
  <w:style w:type="paragraph" w:customStyle="1" w:styleId="72">
    <w:name w:val="样式 8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73">
    <w:name w:val="样式 17 10 磅"/>
    <w:autoRedefine/>
    <w:next w:val="33"/>
    <w:pPr>
      <w:widowControl w:val="0"/>
      <w:jc w:val="both"/>
    </w:pPr>
    <w:rPr>
      <w:rFonts w:ascii="Times New Roman" w:eastAsia="宋体" w:cs="Times New Roman" w:hAnsi="Times New Roman"/>
      <w:kern w:val="2"/>
      <w:sz w:val="21"/>
      <w:szCs w:val="24"/>
      <w:lang w:val="en-US" w:eastAsia="zh-CN" w:bidi="ar-SA"/>
    </w:rPr>
  </w:style>
  <w:style w:type="paragraph" w:customStyle="1" w:styleId="74">
    <w:name w:val="标题 21"/>
    <w:autoRedefine/>
    <w:pPr>
      <w:widowControl w:val="0"/>
      <w:spacing w:line="450" w:lineRule="exact"/>
      <w:ind w:left="151"/>
      <w:outlineLvl w:val="1"/>
    </w:pPr>
    <w:rPr>
      <w:rFonts w:ascii="Microsoft JhengHei" w:eastAsia="Microsoft JhengHei" w:cs="Microsoft JhengHei"/>
      <w:b/>
      <w:bCs/>
      <w:sz w:val="31"/>
      <w:szCs w:val="31"/>
      <w:lang w:val="en-US" w:eastAsia="en-US" w:bidi="ar-SA"/>
    </w:rPr>
  </w:style>
  <w:style w:type="paragraph" w:customStyle="1" w:styleId="75">
    <w:name w:val="样式 279 10 磅"/>
    <w:pPr>
      <w:widowControl w:val="0"/>
      <w:jc w:val="both"/>
    </w:pPr>
    <w:rPr>
      <w:rFonts w:ascii="Calibri" w:eastAsia="宋体" w:cs="Times New Roman" w:hAnsi="Calibri"/>
      <w:kern w:val="2"/>
      <w:sz w:val="21"/>
      <w:szCs w:val="22"/>
      <w:lang w:val="en-US" w:eastAsia="zh-CN" w:bidi="ar-SA"/>
    </w:rPr>
  </w:style>
  <w:style w:type="paragraph" w:customStyle="1" w:styleId="76">
    <w:name w:val="正文1079"/>
    <w:autoRedefine/>
    <w:pPr>
      <w:widowControl w:val="0"/>
      <w:jc w:val="both"/>
    </w:pPr>
    <w:rPr>
      <w:rFonts w:ascii="Calibri" w:eastAsia="宋体" w:cs="Times New Roman" w:hAnsi="Calibri"/>
      <w:kern w:val="2"/>
      <w:sz w:val="21"/>
      <w:szCs w:val="22"/>
      <w:lang w:val="en-US" w:eastAsia="zh-CN" w:bidi="ar-SA"/>
    </w:rPr>
  </w:style>
  <w:style w:type="paragraph" w:customStyle="1" w:styleId="77">
    <w:name w:val="标题 33"/>
    <w:autoRedefine/>
    <w:next w:val="0"/>
    <w:pPr>
      <w:keepNext/>
      <w:keepLines/>
      <w:widowControl w:val="0"/>
      <w:tabs>
        <w:tab w:val="left" w:pos="588"/>
      </w:tabs>
      <w:adjustRightInd w:val="0"/>
      <w:spacing w:line="360" w:lineRule="auto"/>
      <w:jc w:val="both"/>
      <w:textAlignment w:val="baseline"/>
      <w:outlineLvl w:val="2"/>
    </w:pPr>
    <w:rPr>
      <w:rFonts w:ascii="Times New Roman" w:eastAsia="宋体" w:cs="Times New Roman" w:hAnsi="Times New Roman"/>
      <w:snapToGrid w:val="0"/>
      <w:sz w:val="28"/>
      <w:lang w:val="en-US" w:eastAsia="zh-CN" w:bidi="ar-SA"/>
    </w:rPr>
  </w:style>
  <w:style w:type="paragraph" w:customStyle="1" w:styleId="78">
    <w:name w:val="样式 42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79">
    <w:name w:val="样式 1 四号"/>
    <w:autoRedefine/>
    <w:pPr>
      <w:widowControl w:val="0"/>
      <w:jc w:val="both"/>
    </w:pPr>
    <w:rPr>
      <w:rFonts w:ascii="Times New Roman" w:eastAsia="宋体" w:cs="Times New Roman" w:hAnsi="Times New Roman"/>
      <w:kern w:val="2"/>
      <w:sz w:val="28"/>
      <w:lang w:val="en-US" w:eastAsia="zh-CN" w:bidi="ar-SA"/>
    </w:rPr>
  </w:style>
  <w:style w:type="paragraph" w:customStyle="1" w:styleId="80">
    <w:name w:val="图例"/>
    <w:basedOn w:val="0"/>
    <w:autoRedefine/>
    <w:pPr>
      <w:spacing w:before="120" w:after="120" w:line="360" w:lineRule="auto"/>
      <w:jc w:val="center"/>
    </w:pPr>
    <w:rPr>
      <w:rFonts w:eastAsia="仿宋_GB2312"/>
      <w:b/>
      <w:sz w:val="24"/>
    </w:rPr>
  </w:style>
  <w:style w:type="paragraph" w:customStyle="1" w:styleId="81">
    <w:name w:val="W正文"/>
    <w:basedOn w:val="0"/>
    <w:autoRedefine/>
    <w:pPr>
      <w:spacing w:line="400" w:lineRule="exact"/>
      <w:ind w:firstLineChars="200" w:firstLine="200"/>
    </w:pPr>
    <w:rPr>
      <w:bCs/>
      <w:color w:val="000000"/>
      <w:sz w:val="24"/>
      <w:szCs w:val="28"/>
    </w:rPr>
  </w:style>
  <w:style w:type="paragraph" w:customStyle="1" w:styleId="82">
    <w:name w:val="无间隔1"/>
    <w:autoRedefine/>
    <w:pPr>
      <w:widowControl w:val="0"/>
      <w:jc w:val="both"/>
    </w:pPr>
    <w:rPr>
      <w:rFonts w:ascii="Calibri" w:eastAsia="宋体" w:cs="黑体" w:hAnsi="Calibri"/>
      <w:kern w:val="2"/>
      <w:sz w:val="21"/>
      <w:szCs w:val="22"/>
      <w:lang w:val="en-US" w:eastAsia="zh-CN" w:bidi="ar-SA"/>
    </w:rPr>
  </w:style>
  <w:style w:type="character" w:customStyle="1" w:styleId="83">
    <w:name w:val="font21"/>
    <w:basedOn w:val="10"/>
    <w:autoRedefine/>
    <w:rPr>
      <w:rFonts w:ascii="宋体" w:eastAsia="宋体" w:cs="宋体"/>
      <w:color w:val="000000"/>
      <w:sz w:val="21"/>
      <w:szCs w:val="21"/>
      <w:u w:val="none"/>
    </w:rPr>
  </w:style>
  <w:style w:type="character" w:customStyle="1" w:styleId="84">
    <w:name w:val="font31"/>
    <w:basedOn w:val="10"/>
    <w:autoRedefine/>
    <w:rPr>
      <w:rFonts w:ascii="宋体" w:eastAsia="宋体" w:cs="宋体"/>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31</TotalTime>
  <Application>Yozo_Office</Application>
  <Pages>51</Pages>
  <Words>22535</Words>
  <Characters>23285</Characters>
  <Lines>1726</Lines>
  <Paragraphs>951</Paragraphs>
  <CharactersWithSpaces>24933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+/4</dc:title>
  <dc:creator>邓东成</dc:creator>
  <cp:lastModifiedBy>付思玮</cp:lastModifiedBy>
  <cp:revision>2</cp:revision>
  <cp:lastPrinted>2026-07-09T23:54:00Z</cp:lastPrinted>
  <dcterms:created xsi:type="dcterms:W3CDTF">2026-07-13T01:01:00Z</dcterms:created>
  <dcterms:modified xsi:type="dcterms:W3CDTF">2026-07-13T04:33:30Z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B83DC42D7C5A4D0880D893B58F6D7D8B_13</vt:lpwstr>
  </property>
  <property fmtid="{D5CDD505-2E9C-101B-9397-08002B2CF9AE}" pid="4" name="KSOTemplateDocerSaveRecord">
    <vt:lpwstr>eyJoZGlkIjoiOTdlNTQ1ZmQwYjNiZDVkMzc5NjVkZWI5NTdmYmE5NDAiLCJ1c2VySWQiOiI0NDg5MTk3MTIifQ==</vt:lpwstr>
  </property>
</Properties>
</file>