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9"/>
        <w:rPr>
          <w:rFonts w:hint="default" w:ascii="Times New Roman" w:hAnsi="Times New Roman" w:eastAsia="宋体"/>
          <w:lang w:val="en-US" w:eastAsia="zh-CN"/>
        </w:rPr>
      </w:pPr>
      <w:bookmarkStart w:id="2" w:name="_GoBack"/>
      <w:bookmarkEnd w:id="2"/>
      <w:r>
        <w:rPr>
          <w:rFonts w:hint="default" w:ascii="Times New Roman" w:hAnsi="Times New Roman" w:eastAsia="黑体" w:cs="Times New Roman"/>
          <w:lang w:eastAsia="zh-CN"/>
        </w:rPr>
        <w:t>附件</w:t>
      </w:r>
      <w:r>
        <w:rPr>
          <w:rFonts w:hint="default" w:ascii="Times New Roman" w:hAnsi="Times New Roman" w:eastAsia="黑体" w:cs="Times New Roman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9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《水上交通事故责任认定复核办法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9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（征求意见稿）》的起草说明</w:t>
      </w:r>
    </w:p>
    <w:p>
      <w:pPr>
        <w:keepNext w:val="0"/>
        <w:keepLines w:val="0"/>
        <w:pageBreakBefore w:val="0"/>
        <w:widowControl w:val="0"/>
        <w:tabs>
          <w:tab w:val="left" w:pos="362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8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楷体_GB2312" w:cs="Times New Roman"/>
          <w:spacing w:val="-6"/>
          <w:sz w:val="32"/>
          <w:szCs w:val="32"/>
        </w:rPr>
      </w:pPr>
      <w:r>
        <w:rPr>
          <w:rFonts w:hint="default" w:ascii="Times New Roman" w:hAnsi="Times New Roman" w:eastAsia="楷体_GB2312" w:cs="Times New Roman"/>
          <w:spacing w:val="-6"/>
          <w:sz w:val="32"/>
          <w:szCs w:val="32"/>
        </w:rPr>
        <w:t>（2026年</w:t>
      </w:r>
      <w:r>
        <w:rPr>
          <w:rFonts w:hint="default" w:ascii="Times New Roman" w:hAnsi="Times New Roman" w:eastAsia="楷体_GB2312" w:cs="Times New Roman"/>
          <w:spacing w:val="-6"/>
          <w:sz w:val="32"/>
          <w:szCs w:val="32"/>
          <w:lang w:val="en-US"/>
        </w:rPr>
        <w:t>8</w:t>
      </w:r>
      <w:r>
        <w:rPr>
          <w:rFonts w:hint="default" w:ascii="Times New Roman" w:hAnsi="Times New Roman" w:eastAsia="楷体_GB2312" w:cs="Times New Roman"/>
          <w:spacing w:val="-6"/>
          <w:sz w:val="32"/>
          <w:szCs w:val="32"/>
        </w:rPr>
        <w:t>月）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12" w:firstLineChars="200"/>
        <w:jc w:val="left"/>
        <w:textAlignment w:val="auto"/>
        <w:outlineLvl w:val="9"/>
        <w:rPr>
          <w:rFonts w:hint="default" w:ascii="Times New Roman" w:hAnsi="Times New Roman" w:eastAsia="等线" w:cs="Times New Roman"/>
          <w:b/>
          <w:kern w:val="0"/>
          <w:sz w:val="36"/>
          <w:szCs w:val="22"/>
          <w:lang w:eastAsia="zh-CN"/>
        </w:rPr>
      </w:pPr>
      <w:bookmarkStart w:id="0" w:name="heading_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beforeAutospacing="0" w:afterLines="0" w:afterAutospacing="0" w:line="580" w:lineRule="exact"/>
        <w:ind w:left="0" w:leftChars="0" w:firstLine="632" w:firstLineChars="200"/>
        <w:textAlignment w:val="auto"/>
        <w:outlineLvl w:val="0"/>
        <w:rPr>
          <w:rFonts w:hint="default" w:ascii="Times New Roman" w:hAnsi="Times New Roman" w:eastAsia="黑体" w:cs="Times New Roman"/>
          <w:b w:val="0"/>
          <w:kern w:val="44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kern w:val="44"/>
          <w:sz w:val="32"/>
          <w:szCs w:val="32"/>
          <w:lang w:eastAsia="zh-CN"/>
        </w:rPr>
        <w:t>一、</w:t>
      </w:r>
      <w:r>
        <w:rPr>
          <w:rFonts w:ascii="Times New Roman" w:hAnsi="Times New Roman" w:eastAsia="黑体" w:cs="Times New Roman"/>
          <w:kern w:val="44"/>
          <w:sz w:val="32"/>
          <w:szCs w:val="32"/>
        </w:rPr>
        <w:t>起草背景</w:t>
      </w:r>
      <w:bookmarkEnd w:id="0"/>
      <w:r>
        <w:rPr>
          <w:rFonts w:hint="default" w:ascii="Times New Roman" w:hAnsi="Times New Roman" w:eastAsia="黑体" w:cs="Times New Roman"/>
          <w:kern w:val="44"/>
          <w:sz w:val="32"/>
          <w:szCs w:val="32"/>
          <w:lang w:eastAsia="zh-CN"/>
        </w:rPr>
        <w:t>和过程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8" w:firstLineChars="200"/>
        <w:jc w:val="both"/>
        <w:textAlignment w:val="auto"/>
        <w:rPr>
          <w:rFonts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ascii="Times New Roman" w:hAnsi="Times New Roman" w:eastAsia="仿宋_GB2312" w:cs="Times New Roman"/>
          <w:spacing w:val="-6"/>
          <w:sz w:val="32"/>
          <w:szCs w:val="32"/>
        </w:rPr>
        <w:t>2021年新修订的《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中华人民共和国海上交通安全法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》规定，海事管理机构应根据海上交通事故调查报告作出事故责任认定书，作为处理海上交通事故的证据。在司法审判实践中，水上交通事故责任认定书是海事案件审理中的重要证据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不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可以进行行政诉讼或行政复议。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当事人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对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事故责任认定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存在异议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时，往往通过信访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、投诉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等其他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途径主张自己的权益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，不利于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当时人诉求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及时有效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解决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。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因此，有必要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建立专门的水上交通事故责任认定复核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机制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，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保护当事人权益。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8" w:firstLineChars="200"/>
        <w:jc w:val="both"/>
        <w:textAlignment w:val="auto"/>
        <w:rPr>
          <w:rFonts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ascii="Times New Roman" w:hAnsi="Times New Roman" w:eastAsia="仿宋_GB2312" w:cs="Times New Roman"/>
          <w:spacing w:val="-6"/>
          <w:sz w:val="32"/>
          <w:szCs w:val="32"/>
        </w:rPr>
        <w:t>2026年4月，我局成立《复核办法》起草工作组，系统梳理建立事故责任认定救济机制需要把握的关键问题，借鉴道路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交通安全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、消防等领域做法，并起草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办法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文稿；5月至6月，组织集中研讨，形成了《复核办法（初稿）》；7月，对《复核办法（初稿）》进行了修改完善，形成了《复核办法（征求意见稿）》。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Lines="0" w:beforeAutospacing="0" w:afterLines="0" w:afterAutospacing="0" w:line="580" w:lineRule="exact"/>
        <w:ind w:left="0" w:leftChars="0" w:firstLine="632" w:firstLineChars="200"/>
        <w:textAlignment w:val="auto"/>
        <w:outlineLvl w:val="0"/>
        <w:rPr>
          <w:rFonts w:ascii="Times New Roman" w:hAnsi="Times New Roman" w:eastAsia="黑体" w:cs="Times New Roman"/>
          <w:b w:val="0"/>
          <w:kern w:val="44"/>
          <w:sz w:val="32"/>
          <w:szCs w:val="32"/>
        </w:rPr>
      </w:pPr>
      <w:bookmarkStart w:id="1" w:name="heading_4"/>
      <w:r>
        <w:rPr>
          <w:rFonts w:hint="default" w:ascii="Times New Roman" w:hAnsi="Times New Roman" w:eastAsia="黑体" w:cs="Times New Roman"/>
          <w:kern w:val="44"/>
          <w:sz w:val="32"/>
          <w:szCs w:val="32"/>
          <w:lang w:eastAsia="zh-CN"/>
        </w:rPr>
        <w:t>二、</w:t>
      </w:r>
      <w:r>
        <w:rPr>
          <w:rFonts w:ascii="Times New Roman" w:hAnsi="Times New Roman" w:eastAsia="黑体" w:cs="Times New Roman"/>
          <w:kern w:val="44"/>
          <w:sz w:val="32"/>
          <w:szCs w:val="32"/>
        </w:rPr>
        <w:t>主要内容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8" w:firstLineChars="200"/>
        <w:jc w:val="both"/>
        <w:textAlignment w:val="auto"/>
        <w:rPr>
          <w:rFonts w:ascii="Times New Roman" w:hAnsi="Times New Roman" w:eastAsia="仿宋_GB2312" w:cs="Times New Roman"/>
          <w:spacing w:val="-6"/>
          <w:sz w:val="32"/>
          <w:szCs w:val="32"/>
        </w:rPr>
      </w:pPr>
      <w:r>
        <w:rPr>
          <w:rFonts w:ascii="Times New Roman" w:hAnsi="Times New Roman" w:eastAsia="仿宋_GB2312" w:cs="Times New Roman"/>
          <w:spacing w:val="-6"/>
          <w:sz w:val="32"/>
          <w:szCs w:val="32"/>
        </w:rPr>
        <w:t>本办法共二十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一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 xml:space="preserve">条，具体内容如下：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Chars="0" w:firstLine="608" w:firstLineChars="200"/>
        <w:jc w:val="both"/>
        <w:textAlignment w:val="auto"/>
        <w:rPr>
          <w:rFonts w:ascii="Times New Roman" w:hAnsi="Times New Roman" w:eastAsia="仿宋_GB2312" w:cs="Times New Roman"/>
          <w:spacing w:val="-6"/>
          <w:kern w:val="0"/>
          <w:sz w:val="32"/>
          <w:szCs w:val="32"/>
        </w:rPr>
      </w:pPr>
      <w:r>
        <w:rPr>
          <w:rFonts w:hint="default" w:ascii="Times New Roman" w:hAnsi="Times New Roman" w:eastAsia="楷体_GB2312" w:cs="Times New Roman"/>
          <w:spacing w:val="-6"/>
          <w:kern w:val="0"/>
          <w:sz w:val="32"/>
          <w:szCs w:val="32"/>
          <w:lang w:val="en-US" w:eastAsia="zh-CN"/>
        </w:rPr>
        <w:t>（一）原则及要求（第一条至第</w:t>
      </w:r>
      <w:r>
        <w:rPr>
          <w:rFonts w:hint="eastAsia" w:eastAsia="楷体_GB2312" w:cs="Times New Roman"/>
          <w:spacing w:val="-6"/>
          <w:kern w:val="0"/>
          <w:sz w:val="32"/>
          <w:szCs w:val="32"/>
          <w:lang w:val="en-US" w:eastAsia="zh-CN"/>
        </w:rPr>
        <w:t>七</w:t>
      </w:r>
      <w:r>
        <w:rPr>
          <w:rFonts w:hint="default" w:ascii="Times New Roman" w:hAnsi="Times New Roman" w:eastAsia="楷体_GB2312" w:cs="Times New Roman"/>
          <w:spacing w:val="-6"/>
          <w:kern w:val="0"/>
          <w:sz w:val="32"/>
          <w:szCs w:val="32"/>
          <w:lang w:val="en-US" w:eastAsia="zh-CN"/>
        </w:rPr>
        <w:t>条）。</w:t>
      </w:r>
      <w:r>
        <w:rPr>
          <w:rFonts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明确了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制定的</w:t>
      </w:r>
      <w:r>
        <w:rPr>
          <w:rFonts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目的</w:t>
      </w:r>
      <w:r>
        <w:rPr>
          <w:rFonts w:hint="default"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、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依据、</w:t>
      </w:r>
      <w:r>
        <w:rPr>
          <w:rFonts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适用范围及复核工作基本原则；明确复核期间原事故责任认定不停止执行</w:t>
      </w:r>
      <w:r>
        <w:rPr>
          <w:rFonts w:hint="default"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原则</w:t>
      </w:r>
      <w:r>
        <w:rPr>
          <w:rFonts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；规定</w:t>
      </w:r>
      <w:r>
        <w:rPr>
          <w:rFonts w:hint="default"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了</w:t>
      </w:r>
      <w:r>
        <w:rPr>
          <w:rFonts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不得向当事人收取费用</w:t>
      </w:r>
      <w:r>
        <w:rPr>
          <w:rFonts w:hint="default"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的要求</w:t>
      </w:r>
      <w:r>
        <w:rPr>
          <w:rFonts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；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明确了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相关海事管理机构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对复核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职责管辖权限</w:t>
      </w:r>
      <w:r>
        <w:rPr>
          <w:rFonts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；确</w:t>
      </w:r>
      <w:r>
        <w:rPr>
          <w:rFonts w:hint="default"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定</w:t>
      </w:r>
      <w:r>
        <w:rPr>
          <w:rFonts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复核以一次为限，</w:t>
      </w:r>
      <w:r>
        <w:rPr>
          <w:rFonts w:hint="default"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同时</w:t>
      </w:r>
      <w:r>
        <w:rPr>
          <w:rFonts w:ascii="Times New Roman" w:hAnsi="Times New Roman" w:eastAsia="仿宋_GB2312" w:cs="Times New Roman"/>
          <w:spacing w:val="-6"/>
          <w:kern w:val="0"/>
          <w:sz w:val="32"/>
          <w:szCs w:val="32"/>
          <w:lang w:val="en-US" w:eastAsia="zh-CN"/>
        </w:rPr>
        <w:t>区分原认定与重新作出认定的复核权限。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32" w:firstLineChars="200"/>
        <w:jc w:val="both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val="en-US" w:eastAsia="zh-CN"/>
        </w:rPr>
        <w:t>二）复核</w:t>
      </w:r>
      <w:r>
        <w:rPr>
          <w:rFonts w:hint="default" w:ascii="Times New Roman" w:hAnsi="Times New Roman" w:eastAsia="楷体_GB2312" w:cs="Times New Roman"/>
          <w:kern w:val="0"/>
          <w:sz w:val="32"/>
          <w:szCs w:val="32"/>
        </w:rPr>
        <w:t>申请与受理（第</w:t>
      </w:r>
      <w:r>
        <w:rPr>
          <w:rFonts w:hint="eastAsia" w:eastAsia="楷体_GB2312" w:cs="Times New Roman"/>
          <w:kern w:val="0"/>
          <w:sz w:val="32"/>
          <w:szCs w:val="32"/>
          <w:lang w:eastAsia="zh-CN"/>
        </w:rPr>
        <w:t>八</w:t>
      </w:r>
      <w:r>
        <w:rPr>
          <w:rFonts w:hint="default" w:ascii="Times New Roman" w:hAnsi="Times New Roman" w:eastAsia="楷体_GB2312" w:cs="Times New Roman"/>
          <w:kern w:val="0"/>
          <w:sz w:val="32"/>
          <w:szCs w:val="32"/>
        </w:rPr>
        <w:t>条至第十二条）。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规定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了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当事人复核申请期限、申请材料清单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列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明了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不予受理复核申请的情形，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明确了是否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受理的审查时限与书面告知要求；规定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了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原责任认定机构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提交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书面说明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、证据材料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的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要求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；明确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了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审查期间申请人撤回复核申请的处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理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要求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 xml:space="preserve">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32" w:firstLineChars="200"/>
        <w:jc w:val="both"/>
        <w:textAlignment w:val="auto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hint="default" w:ascii="Times New Roman" w:hAnsi="Times New Roman" w:eastAsia="楷体_GB2312" w:cs="Times New Roman"/>
          <w:kern w:val="0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楷体_GB2312" w:cs="Times New Roman"/>
          <w:kern w:val="0"/>
          <w:sz w:val="32"/>
          <w:szCs w:val="32"/>
        </w:rPr>
        <w:t>）复核审查</w:t>
      </w:r>
      <w:r>
        <w:rPr>
          <w:rFonts w:hint="default" w:ascii="Times New Roman" w:hAnsi="Times New Roman" w:eastAsia="楷体_GB2312" w:cs="Times New Roman"/>
          <w:kern w:val="0"/>
          <w:sz w:val="32"/>
          <w:szCs w:val="32"/>
          <w:lang w:val="en-US"/>
        </w:rPr>
        <w:t>与</w:t>
      </w:r>
      <w:r>
        <w:rPr>
          <w:rFonts w:hint="default" w:ascii="Times New Roman" w:hAnsi="Times New Roman" w:eastAsia="楷体_GB2312" w:cs="Times New Roman"/>
          <w:kern w:val="0"/>
          <w:sz w:val="32"/>
          <w:szCs w:val="32"/>
        </w:rPr>
        <w:t>决定（第十三条至第十九条）。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规定了成立复核工作组的要求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；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明确了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审查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方式，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必要时，可以使用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现场核查、询问当事人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、技术鉴定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等审查手段；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明确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了</w:t>
      </w:r>
      <w:r>
        <w:rPr>
          <w:rFonts w:ascii="Times New Roman" w:hAnsi="Times New Roman" w:eastAsia="仿宋_GB2312" w:cs="Times New Roman"/>
          <w:kern w:val="0"/>
          <w:sz w:val="32"/>
          <w:szCs w:val="32"/>
          <w:lang w:val="en-US" w:eastAsia="zh-CN"/>
        </w:rPr>
        <w:t>全面审查原则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和具体审查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内容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明确了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复核审查期限、延长时限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等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，规定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了出具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复核结论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  <w:t>的原则要求，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建立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  <w:t>了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复核监督机制</w:t>
      </w:r>
      <w:r>
        <w:rPr>
          <w:rFonts w:ascii="Times New Roman" w:hAnsi="Times New Roman" w:eastAsia="仿宋_GB2312" w:cs="Times New Roman"/>
          <w:kern w:val="0"/>
          <w:sz w:val="32"/>
          <w:szCs w:val="32"/>
          <w:lang w:val="en-US" w:eastAsia="zh-CN"/>
        </w:rPr>
        <w:t>，保证复核结论客观公正。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/>
        <w:autoSpaceDE/>
        <w:autoSpaceDN/>
        <w:bidi w:val="0"/>
        <w:adjustRightInd/>
        <w:snapToGrid/>
        <w:spacing w:line="240" w:lineRule="auto"/>
        <w:ind w:left="0" w:leftChars="0" w:right="0" w:rightChars="0" w:firstLine="608" w:firstLineChars="200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kern w:val="2"/>
          <w:lang w:eastAsia="zh-CN"/>
        </w:rPr>
      </w:pPr>
      <w:r>
        <w:rPr>
          <w:rFonts w:hint="default" w:ascii="Times New Roman" w:hAnsi="Times New Roman" w:eastAsia="楷体_GB2312" w:cs="Times New Roman"/>
          <w:spacing w:val="-6"/>
          <w:sz w:val="32"/>
          <w:szCs w:val="32"/>
          <w:lang w:val="en-US"/>
        </w:rPr>
        <w:t>（</w:t>
      </w:r>
      <w:r>
        <w:rPr>
          <w:rFonts w:hint="default" w:ascii="Times New Roman" w:hAnsi="Times New Roman" w:eastAsia="楷体_GB2312" w:cs="Times New Roman"/>
          <w:spacing w:val="-6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楷体_GB2312" w:cs="Times New Roman"/>
          <w:spacing w:val="-6"/>
          <w:sz w:val="32"/>
          <w:szCs w:val="32"/>
          <w:lang w:val="en-US"/>
        </w:rPr>
        <w:t>）解释与实施</w:t>
      </w:r>
      <w:r>
        <w:rPr>
          <w:rFonts w:hint="default" w:ascii="Times New Roman" w:hAnsi="Times New Roman" w:eastAsia="楷体_GB2312" w:cs="Times New Roman"/>
          <w:spacing w:val="-6"/>
          <w:sz w:val="32"/>
          <w:szCs w:val="32"/>
        </w:rPr>
        <w:t>（第二十条至第二十</w:t>
      </w:r>
      <w:r>
        <w:rPr>
          <w:rFonts w:hint="default" w:ascii="Times New Roman" w:hAnsi="Times New Roman" w:eastAsia="楷体_GB2312" w:cs="Times New Roman"/>
          <w:spacing w:val="-6"/>
          <w:sz w:val="32"/>
          <w:szCs w:val="32"/>
          <w:lang w:eastAsia="zh-CN"/>
        </w:rPr>
        <w:t>一</w:t>
      </w:r>
      <w:r>
        <w:rPr>
          <w:rFonts w:hint="default" w:ascii="Times New Roman" w:hAnsi="Times New Roman" w:eastAsia="楷体_GB2312" w:cs="Times New Roman"/>
          <w:spacing w:val="-6"/>
          <w:sz w:val="32"/>
          <w:szCs w:val="32"/>
        </w:rPr>
        <w:t>条）。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明确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本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办法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>由交通运输部海事局负责解释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 w:cs="Times New Roman"/>
          <w:spacing w:val="-6"/>
          <w:sz w:val="32"/>
          <w:szCs w:val="32"/>
        </w:rPr>
        <w:t xml:space="preserve">自发布之日起施行。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/>
          <w:lang w:val="en-US" w:eastAsia="zh-CN"/>
        </w:rPr>
      </w:pPr>
    </w:p>
    <w:sectPr>
      <w:footerReference r:id="rId9" w:type="first"/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2041" w:right="1531" w:bottom="2041" w:left="1531" w:header="907" w:footer="680" w:gutter="0"/>
      <w:pgBorders>
        <w:top w:val="none" w:sz="0" w:space="0"/>
        <w:left w:val="none" w:sz="0" w:space="0"/>
        <w:bottom w:val="none" w:sz="0" w:space="0"/>
        <w:right w:val="none" w:sz="0" w:space="0"/>
      </w:pgBorders>
      <w:lnNumType w:countBy="0"/>
      <w:pgNumType w:fmt="decimal"/>
      <w:cols w:space="720" w:num="1"/>
      <w:titlePg/>
      <w:rtlGutter w:val="0"/>
      <w:docGrid w:type="linesAndChars" w:linePitch="578" w:charSpace="-8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Arial Unicode MS"/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黑体_GBK">
    <w:altName w:val="Arial Unicode MS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altName w:val="Arial Unicode MS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1F00FF" w:csb1="FFFF0000"/>
  </w:font>
  <w:font w:name="方正黑体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pageBreakBefore w:val="0"/>
      <w:widowControl w:val="0"/>
      <w:tabs>
        <w:tab w:val="center" w:pos="4153"/>
        <w:tab w:val="right" w:pos="8306"/>
      </w:tabs>
      <w:kinsoku/>
      <w:wordWrap/>
      <w:overflowPunct w:val="0"/>
      <w:topLinePunct/>
      <w:autoSpaceDE/>
      <w:autoSpaceDN/>
      <w:bidi w:val="0"/>
      <w:adjustRightInd/>
      <w:snapToGrid/>
      <w:spacing w:after="0" w:afterLines="370"/>
      <w:textAlignment w:val="auto"/>
      <w:rPr>
        <w:rFonts w:hint="default"/>
        <w:lang w:val="en-US"/>
      </w:rPr>
    </w:pPr>
    <w:r>
      <w:rPr>
        <w:sz w:val="32"/>
      </w:rPr>
      <w:pict>
        <v:shape id="文本框 13" o:spid="_x0000_s2050" o:spt="202" type="#_x0000_t202" style="position:absolute;left:0pt;margin-top:-5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">
          <v:path/>
          <v:fill on="f" focussize="0,0"/>
          <v:stroke on="f" weight="0.5pt"/>
          <v:imagedata o:title=""/>
          <o:lock v:ext="edit" aspectratio="f"/>
          <v:textbox inset="0mm,0mm,0mm,0mm" style="mso-fit-shape-to-text:t;">
            <w:txbxContent>
              <w:p>
                <w:pPr>
                  <w:ind w:left="320" w:leftChars="100" w:right="320" w:rightChars="100" w:firstLine="0" w:firstLineChars="0"/>
                  <w:rPr>
                    <w:rFonts w:hint="default"/>
                    <w:lang w:val="en-US"/>
                  </w:rPr>
                </w:pPr>
                <w:r>
                  <w:rPr>
                    <w:lang w:val="en-US"/>
                  </w:rPr>
                  <w:t xml:space="preserve">— </w:t>
                </w:r>
                <w:r>
                  <w:rPr>
                    <w:lang w:val="en-US"/>
                  </w:rPr>
                  <w:fldChar w:fldCharType="begin"/>
                </w:r>
                <w:r>
                  <w:rPr>
                    <w:lang w:val="en-US"/>
                  </w:rPr>
                  <w:instrText xml:space="preserve"> PAGE  \* MERGEFORMAT </w:instrText>
                </w:r>
                <w:r>
                  <w:rPr>
                    <w:lang w:val="en-US"/>
                  </w:rPr>
                  <w:fldChar w:fldCharType="separate"/>
                </w:r>
                <w:r>
                  <w:rPr>
                    <w:lang w:val="en-US"/>
                  </w:rPr>
                  <w:t>2</w:t>
                </w:r>
                <w:r>
                  <w:rPr>
                    <w:lang w:val="en-US"/>
                  </w:rPr>
                  <w:fldChar w:fldCharType="end"/>
                </w:r>
                <w:r>
                  <w:rPr>
                    <w:lang w:val="en-US"/>
                  </w:rPr>
                  <w:t xml:space="preserve"> —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spacing w:after="528" w:afterLines="220" w:line="432" w:lineRule="auto"/>
      <w:ind w:left="320" w:leftChars="100"/>
      <w:rPr>
        <w:rFonts w:hint="eastAsia" w:ascii="宋体" w:hAnsi="宋体" w:eastAsia="宋体"/>
        <w:sz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 w:val="0"/>
      <w:keepLines w:val="0"/>
      <w:pageBreakBefore w:val="0"/>
      <w:widowControl w:val="0"/>
      <w:tabs>
        <w:tab w:val="center" w:pos="4153"/>
        <w:tab w:val="right" w:pos="8306"/>
      </w:tabs>
      <w:kinsoku/>
      <w:wordWrap/>
      <w:overflowPunct w:val="0"/>
      <w:topLinePunct/>
      <w:autoSpaceDE/>
      <w:autoSpaceDN/>
      <w:bidi w:val="0"/>
      <w:adjustRightInd/>
      <w:snapToGrid/>
      <w:spacing w:line="240" w:lineRule="auto"/>
      <w:textAlignment w:val="auto"/>
    </w:pPr>
  </w:p>
  <w:p>
    <w:pPr>
      <w:tabs>
        <w:tab w:val="center" w:pos="4153"/>
        <w:tab w:val="right" w:pos="8306"/>
      </w:tabs>
      <w:bidi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rFonts w:hint="eastAsia"/>
      </w:rPr>
    </w:pPr>
  </w:p>
  <w:p>
    <w:pPr>
      <w:rPr>
        <w:rFonts w:hint="eastAsia"/>
      </w:rPr>
    </w:pPr>
  </w:p>
  <w:p>
    <w:pPr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rFonts w:hint="eastAsia"/>
        <w:szCs w:val="32"/>
      </w:rPr>
    </w:pPr>
  </w:p>
  <w:p>
    <w:pPr>
      <w:rPr>
        <w:rFonts w:hint="eastAsia"/>
        <w:szCs w:val="32"/>
      </w:rPr>
    </w:pPr>
  </w:p>
  <w:p>
    <w:pPr>
      <w:tabs>
        <w:tab w:val="center" w:pos="4153"/>
        <w:tab w:val="right" w:pos="8306"/>
      </w:tabs>
      <w:rPr>
        <w:sz w:val="38"/>
        <w:szCs w:val="3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80CA42"/>
    <w:multiLevelType w:val="singleLevel"/>
    <w:tmpl w:val="8980CA42"/>
    <w:lvl w:ilvl="0" w:tentative="0">
      <w:start w:val="1"/>
      <w:numFmt w:val="decimal"/>
      <w:pStyle w:val="9"/>
      <w:suff w:val="nothing"/>
      <w:lvlText w:val="(%1)"/>
      <w:lvlJc w:val="left"/>
      <w:pPr>
        <w:ind w:left="0" w:firstLine="0"/>
      </w:pPr>
      <w:rPr>
        <w:rFonts w:hint="default"/>
      </w:rPr>
    </w:lvl>
  </w:abstractNum>
  <w:abstractNum w:abstractNumId="1">
    <w:nsid w:val="B9C76C3B"/>
    <w:multiLevelType w:val="singleLevel"/>
    <w:tmpl w:val="B9C76C3B"/>
    <w:lvl w:ilvl="0" w:tentative="0">
      <w:start w:val="1"/>
      <w:numFmt w:val="chineseCounting"/>
      <w:pStyle w:val="10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2">
    <w:nsid w:val="0C163016"/>
    <w:multiLevelType w:val="singleLevel"/>
    <w:tmpl w:val="0C163016"/>
    <w:lvl w:ilvl="0" w:tentative="0">
      <w:start w:val="1"/>
      <w:numFmt w:val="decimal"/>
      <w:pStyle w:val="8"/>
      <w:suff w:val="nothing"/>
      <w:lvlText w:val="%1."/>
      <w:lvlJc w:val="left"/>
      <w:pPr>
        <w:ind w:left="0" w:firstLine="0"/>
      </w:pPr>
      <w:rPr>
        <w:rFonts w:hint="default"/>
      </w:rPr>
    </w:lvl>
  </w:abstractNum>
  <w:abstractNum w:abstractNumId="3">
    <w:nsid w:val="6FACAC00"/>
    <w:multiLevelType w:val="singleLevel"/>
    <w:tmpl w:val="6FACAC00"/>
    <w:lvl w:ilvl="0" w:tentative="0">
      <w:start w:val="1"/>
      <w:numFmt w:val="chineseCounting"/>
      <w:pStyle w:val="11"/>
      <w:suff w:val="nothing"/>
      <w:lvlText w:val="（%1）"/>
      <w:lvlJc w:val="left"/>
      <w:pPr>
        <w:ind w:left="0" w:firstLine="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trackRevisions w:val="1"/>
  <w:documentProtection w:enforcement="0"/>
  <w:defaultTabStop w:val="632"/>
  <w:hyphenationZone w:val="360"/>
  <w:drawingGridHorizontalSpacing w:val="158"/>
  <w:drawingGridVerticalSpacing w:val="301"/>
  <w:displayHorizontalDrawingGridEvery w:val="2"/>
  <w:displayVerticalDrawingGridEvery w:val="2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iDocStyle" w:val="2"/>
  </w:docVars>
  <w:rsids>
    <w:rsidRoot w:val="40E346DA"/>
    <w:rsid w:val="00434253"/>
    <w:rsid w:val="007E70F2"/>
    <w:rsid w:val="008C4773"/>
    <w:rsid w:val="00F42E9E"/>
    <w:rsid w:val="013B319F"/>
    <w:rsid w:val="022E5763"/>
    <w:rsid w:val="025362DD"/>
    <w:rsid w:val="028B4239"/>
    <w:rsid w:val="02A757AF"/>
    <w:rsid w:val="02E67965"/>
    <w:rsid w:val="03AB5C98"/>
    <w:rsid w:val="0420471B"/>
    <w:rsid w:val="042774DD"/>
    <w:rsid w:val="042E1679"/>
    <w:rsid w:val="0484458C"/>
    <w:rsid w:val="04993F99"/>
    <w:rsid w:val="04AE30E1"/>
    <w:rsid w:val="055E19D6"/>
    <w:rsid w:val="056858EB"/>
    <w:rsid w:val="05AA6CB3"/>
    <w:rsid w:val="05B6663A"/>
    <w:rsid w:val="05F27D2D"/>
    <w:rsid w:val="061E5470"/>
    <w:rsid w:val="06962531"/>
    <w:rsid w:val="06A50054"/>
    <w:rsid w:val="06CF1799"/>
    <w:rsid w:val="071C620D"/>
    <w:rsid w:val="079A2388"/>
    <w:rsid w:val="07C95455"/>
    <w:rsid w:val="07CF0A92"/>
    <w:rsid w:val="07D73AFD"/>
    <w:rsid w:val="07D91E6C"/>
    <w:rsid w:val="081F25E1"/>
    <w:rsid w:val="08A53B3F"/>
    <w:rsid w:val="08B406C1"/>
    <w:rsid w:val="08F438BE"/>
    <w:rsid w:val="08F97D45"/>
    <w:rsid w:val="094B7B50"/>
    <w:rsid w:val="09E81BCC"/>
    <w:rsid w:val="0AB446C3"/>
    <w:rsid w:val="0B14382D"/>
    <w:rsid w:val="0B863BF7"/>
    <w:rsid w:val="0BD5688A"/>
    <w:rsid w:val="0BEE1E1C"/>
    <w:rsid w:val="0C1E1148"/>
    <w:rsid w:val="0C38640A"/>
    <w:rsid w:val="0C797E81"/>
    <w:rsid w:val="0C832815"/>
    <w:rsid w:val="0C9C373F"/>
    <w:rsid w:val="0CCE7DBE"/>
    <w:rsid w:val="0DB3678A"/>
    <w:rsid w:val="0EA90CA8"/>
    <w:rsid w:val="0EB81B09"/>
    <w:rsid w:val="0EBC06F1"/>
    <w:rsid w:val="0EF9070E"/>
    <w:rsid w:val="0F6E6A60"/>
    <w:rsid w:val="0FE73931"/>
    <w:rsid w:val="10050B13"/>
    <w:rsid w:val="100917AB"/>
    <w:rsid w:val="10973872"/>
    <w:rsid w:val="109F0885"/>
    <w:rsid w:val="10E55348"/>
    <w:rsid w:val="10F20DDB"/>
    <w:rsid w:val="11137CB7"/>
    <w:rsid w:val="117F1CC3"/>
    <w:rsid w:val="11991732"/>
    <w:rsid w:val="11D1624A"/>
    <w:rsid w:val="11D413CD"/>
    <w:rsid w:val="12132537"/>
    <w:rsid w:val="122F0A77"/>
    <w:rsid w:val="123639F0"/>
    <w:rsid w:val="12864AD5"/>
    <w:rsid w:val="12F7796E"/>
    <w:rsid w:val="132248F2"/>
    <w:rsid w:val="13B51D83"/>
    <w:rsid w:val="14013F61"/>
    <w:rsid w:val="142E0389"/>
    <w:rsid w:val="145F02BB"/>
    <w:rsid w:val="14BF336C"/>
    <w:rsid w:val="14F9270E"/>
    <w:rsid w:val="15357481"/>
    <w:rsid w:val="156947AC"/>
    <w:rsid w:val="15DC4AEB"/>
    <w:rsid w:val="165C6BD6"/>
    <w:rsid w:val="1697772B"/>
    <w:rsid w:val="16AA063C"/>
    <w:rsid w:val="16B37836"/>
    <w:rsid w:val="171F1CC6"/>
    <w:rsid w:val="17753588"/>
    <w:rsid w:val="17E54B40"/>
    <w:rsid w:val="19C11524"/>
    <w:rsid w:val="19D35BDF"/>
    <w:rsid w:val="19D442DA"/>
    <w:rsid w:val="19DA3CF6"/>
    <w:rsid w:val="1A0503BE"/>
    <w:rsid w:val="1A746473"/>
    <w:rsid w:val="1B3006DC"/>
    <w:rsid w:val="1BDCA66B"/>
    <w:rsid w:val="1C7C6848"/>
    <w:rsid w:val="1C9551F4"/>
    <w:rsid w:val="1CC63E4F"/>
    <w:rsid w:val="1CCB1E4B"/>
    <w:rsid w:val="1CDA2465"/>
    <w:rsid w:val="1CDA4664"/>
    <w:rsid w:val="1D3A6AD3"/>
    <w:rsid w:val="1D561A2F"/>
    <w:rsid w:val="1D7F2BF3"/>
    <w:rsid w:val="1D8C3334"/>
    <w:rsid w:val="1D9176A9"/>
    <w:rsid w:val="1DAF5E38"/>
    <w:rsid w:val="1DD7174F"/>
    <w:rsid w:val="1DED3227"/>
    <w:rsid w:val="1E306F52"/>
    <w:rsid w:val="1E5F7CE3"/>
    <w:rsid w:val="1F21724F"/>
    <w:rsid w:val="1F3C63CC"/>
    <w:rsid w:val="1F5008F0"/>
    <w:rsid w:val="1FEA526B"/>
    <w:rsid w:val="1FFCEF0A"/>
    <w:rsid w:val="20402406"/>
    <w:rsid w:val="206372DA"/>
    <w:rsid w:val="21153CE6"/>
    <w:rsid w:val="213D6351"/>
    <w:rsid w:val="21667CED"/>
    <w:rsid w:val="219A2116"/>
    <w:rsid w:val="21C87443"/>
    <w:rsid w:val="21D81213"/>
    <w:rsid w:val="222A228D"/>
    <w:rsid w:val="22D636B5"/>
    <w:rsid w:val="22D8243B"/>
    <w:rsid w:val="2378543C"/>
    <w:rsid w:val="239E5F73"/>
    <w:rsid w:val="23B80046"/>
    <w:rsid w:val="23E11F56"/>
    <w:rsid w:val="23E74150"/>
    <w:rsid w:val="24001E9D"/>
    <w:rsid w:val="241A3671"/>
    <w:rsid w:val="244A2CBC"/>
    <w:rsid w:val="245B05B6"/>
    <w:rsid w:val="24634140"/>
    <w:rsid w:val="24726959"/>
    <w:rsid w:val="24F71F05"/>
    <w:rsid w:val="255211FC"/>
    <w:rsid w:val="2552184A"/>
    <w:rsid w:val="25D25119"/>
    <w:rsid w:val="267549B7"/>
    <w:rsid w:val="26800C37"/>
    <w:rsid w:val="274676FC"/>
    <w:rsid w:val="27F57F56"/>
    <w:rsid w:val="283C6348"/>
    <w:rsid w:val="28D22706"/>
    <w:rsid w:val="2960709D"/>
    <w:rsid w:val="2973087E"/>
    <w:rsid w:val="2994668E"/>
    <w:rsid w:val="2A8D1D2B"/>
    <w:rsid w:val="2B275B94"/>
    <w:rsid w:val="2BE967AD"/>
    <w:rsid w:val="2BF91CA4"/>
    <w:rsid w:val="2C08574B"/>
    <w:rsid w:val="2C645E65"/>
    <w:rsid w:val="2C6A1EF8"/>
    <w:rsid w:val="2DCC08AF"/>
    <w:rsid w:val="2DCF1834"/>
    <w:rsid w:val="2E8F63EE"/>
    <w:rsid w:val="2EBE5B73"/>
    <w:rsid w:val="2F043E2F"/>
    <w:rsid w:val="2F0E39DA"/>
    <w:rsid w:val="2F3D2476"/>
    <w:rsid w:val="2FB80B1A"/>
    <w:rsid w:val="2FCD12F9"/>
    <w:rsid w:val="2FDA1F57"/>
    <w:rsid w:val="303C73AF"/>
    <w:rsid w:val="30545DC2"/>
    <w:rsid w:val="309767C4"/>
    <w:rsid w:val="30F30D2C"/>
    <w:rsid w:val="31122426"/>
    <w:rsid w:val="312B02E8"/>
    <w:rsid w:val="313F7767"/>
    <w:rsid w:val="32127335"/>
    <w:rsid w:val="32781F32"/>
    <w:rsid w:val="328151A9"/>
    <w:rsid w:val="32843DF1"/>
    <w:rsid w:val="328B7EF8"/>
    <w:rsid w:val="32AA63ED"/>
    <w:rsid w:val="33410039"/>
    <w:rsid w:val="33903029"/>
    <w:rsid w:val="339729B4"/>
    <w:rsid w:val="33F00AC4"/>
    <w:rsid w:val="33FA4C57"/>
    <w:rsid w:val="33FFC844"/>
    <w:rsid w:val="342F3E2C"/>
    <w:rsid w:val="348B5672"/>
    <w:rsid w:val="34A613B0"/>
    <w:rsid w:val="3566177A"/>
    <w:rsid w:val="356A4AAD"/>
    <w:rsid w:val="36291668"/>
    <w:rsid w:val="365FC27E"/>
    <w:rsid w:val="367245D3"/>
    <w:rsid w:val="369A7DEA"/>
    <w:rsid w:val="37B77B75"/>
    <w:rsid w:val="37BC3FFD"/>
    <w:rsid w:val="37EFC956"/>
    <w:rsid w:val="38146D35"/>
    <w:rsid w:val="38533E32"/>
    <w:rsid w:val="38E42B66"/>
    <w:rsid w:val="38F4757D"/>
    <w:rsid w:val="392E56FA"/>
    <w:rsid w:val="39C07375"/>
    <w:rsid w:val="39D50F1A"/>
    <w:rsid w:val="3A7F4B06"/>
    <w:rsid w:val="3AB55CFA"/>
    <w:rsid w:val="3AC3214C"/>
    <w:rsid w:val="3B013DDA"/>
    <w:rsid w:val="3B564B69"/>
    <w:rsid w:val="3B7D4DC9"/>
    <w:rsid w:val="3B9171E4"/>
    <w:rsid w:val="3BF66C71"/>
    <w:rsid w:val="3C3B6251"/>
    <w:rsid w:val="3C3F466B"/>
    <w:rsid w:val="3C520284"/>
    <w:rsid w:val="3C5C348E"/>
    <w:rsid w:val="3C743CBC"/>
    <w:rsid w:val="3C881C2C"/>
    <w:rsid w:val="3CC45453"/>
    <w:rsid w:val="3D265EF0"/>
    <w:rsid w:val="3D2F3BA0"/>
    <w:rsid w:val="3D763CDE"/>
    <w:rsid w:val="3D973576"/>
    <w:rsid w:val="3DB117E9"/>
    <w:rsid w:val="3DB8304E"/>
    <w:rsid w:val="3DC10E17"/>
    <w:rsid w:val="3DFA2BBE"/>
    <w:rsid w:val="3E6910C5"/>
    <w:rsid w:val="3E7A31F7"/>
    <w:rsid w:val="3E8E65D4"/>
    <w:rsid w:val="3EBFD8E3"/>
    <w:rsid w:val="3F2435A5"/>
    <w:rsid w:val="3F5F09C0"/>
    <w:rsid w:val="3F6B43CD"/>
    <w:rsid w:val="3F6F584D"/>
    <w:rsid w:val="3FBFFD4F"/>
    <w:rsid w:val="3FD9623D"/>
    <w:rsid w:val="401436CA"/>
    <w:rsid w:val="405C0524"/>
    <w:rsid w:val="408D68DD"/>
    <w:rsid w:val="40C06849"/>
    <w:rsid w:val="40E346DA"/>
    <w:rsid w:val="410D0442"/>
    <w:rsid w:val="41101E4C"/>
    <w:rsid w:val="413345E7"/>
    <w:rsid w:val="42176DFB"/>
    <w:rsid w:val="42345F07"/>
    <w:rsid w:val="42794B49"/>
    <w:rsid w:val="42DF46C6"/>
    <w:rsid w:val="432C0B40"/>
    <w:rsid w:val="43ED34FE"/>
    <w:rsid w:val="44215F39"/>
    <w:rsid w:val="442D73A0"/>
    <w:rsid w:val="443E7410"/>
    <w:rsid w:val="44837650"/>
    <w:rsid w:val="44A71AB2"/>
    <w:rsid w:val="44AC00B9"/>
    <w:rsid w:val="44AD1E73"/>
    <w:rsid w:val="44BB1466"/>
    <w:rsid w:val="44D04DF5"/>
    <w:rsid w:val="45375A9E"/>
    <w:rsid w:val="456033DF"/>
    <w:rsid w:val="46633F07"/>
    <w:rsid w:val="479C75F5"/>
    <w:rsid w:val="47E258D1"/>
    <w:rsid w:val="47FD12BD"/>
    <w:rsid w:val="48202F84"/>
    <w:rsid w:val="489F5EA6"/>
    <w:rsid w:val="48A531BC"/>
    <w:rsid w:val="49017D37"/>
    <w:rsid w:val="494A0EF4"/>
    <w:rsid w:val="4B0B13AD"/>
    <w:rsid w:val="4B4B5EC8"/>
    <w:rsid w:val="4B77583B"/>
    <w:rsid w:val="4BE52395"/>
    <w:rsid w:val="4BEB1E5E"/>
    <w:rsid w:val="4C1E0ABA"/>
    <w:rsid w:val="4C7C75DA"/>
    <w:rsid w:val="4CB848EB"/>
    <w:rsid w:val="4CCD0C8D"/>
    <w:rsid w:val="4D015835"/>
    <w:rsid w:val="4D086984"/>
    <w:rsid w:val="4DEB39E3"/>
    <w:rsid w:val="4E1B36E1"/>
    <w:rsid w:val="4E61CB8B"/>
    <w:rsid w:val="4EA8761A"/>
    <w:rsid w:val="4ECD3931"/>
    <w:rsid w:val="4F4B57CA"/>
    <w:rsid w:val="4F7F21DB"/>
    <w:rsid w:val="4FF307BE"/>
    <w:rsid w:val="506249DD"/>
    <w:rsid w:val="506449AA"/>
    <w:rsid w:val="506D4B6B"/>
    <w:rsid w:val="50714687"/>
    <w:rsid w:val="50B775BA"/>
    <w:rsid w:val="50C76C5C"/>
    <w:rsid w:val="51397CE2"/>
    <w:rsid w:val="51E243B7"/>
    <w:rsid w:val="5245110A"/>
    <w:rsid w:val="52463308"/>
    <w:rsid w:val="524A462B"/>
    <w:rsid w:val="52542CB4"/>
    <w:rsid w:val="52654633"/>
    <w:rsid w:val="52E5798E"/>
    <w:rsid w:val="52FB0F65"/>
    <w:rsid w:val="53095F01"/>
    <w:rsid w:val="53373F15"/>
    <w:rsid w:val="534A18B1"/>
    <w:rsid w:val="534A5134"/>
    <w:rsid w:val="534E58CE"/>
    <w:rsid w:val="53AB3ED4"/>
    <w:rsid w:val="53EE6269"/>
    <w:rsid w:val="53F0393C"/>
    <w:rsid w:val="54C804C2"/>
    <w:rsid w:val="54CD192A"/>
    <w:rsid w:val="55877089"/>
    <w:rsid w:val="55AB657D"/>
    <w:rsid w:val="55ED4315"/>
    <w:rsid w:val="55F73A99"/>
    <w:rsid w:val="56773FE7"/>
    <w:rsid w:val="56ED52AB"/>
    <w:rsid w:val="57252E86"/>
    <w:rsid w:val="57981C4F"/>
    <w:rsid w:val="580F43B6"/>
    <w:rsid w:val="58140590"/>
    <w:rsid w:val="58764423"/>
    <w:rsid w:val="58AD748A"/>
    <w:rsid w:val="5957178A"/>
    <w:rsid w:val="595F6F42"/>
    <w:rsid w:val="59972C8B"/>
    <w:rsid w:val="59E733D1"/>
    <w:rsid w:val="5AA9184E"/>
    <w:rsid w:val="5B89532A"/>
    <w:rsid w:val="5BDEE518"/>
    <w:rsid w:val="5BFDE3D4"/>
    <w:rsid w:val="5C381F5A"/>
    <w:rsid w:val="5C546007"/>
    <w:rsid w:val="5C813653"/>
    <w:rsid w:val="5C883DDD"/>
    <w:rsid w:val="5CA0453B"/>
    <w:rsid w:val="5CAC1823"/>
    <w:rsid w:val="5CB1580F"/>
    <w:rsid w:val="5CBC02C8"/>
    <w:rsid w:val="5D142BC1"/>
    <w:rsid w:val="5D42164B"/>
    <w:rsid w:val="5D6269EC"/>
    <w:rsid w:val="5DF50FB6"/>
    <w:rsid w:val="5E1F77AA"/>
    <w:rsid w:val="5E340A9B"/>
    <w:rsid w:val="5EC55BC8"/>
    <w:rsid w:val="5F1B2930"/>
    <w:rsid w:val="5F3F4450"/>
    <w:rsid w:val="5F956A3B"/>
    <w:rsid w:val="5FB44734"/>
    <w:rsid w:val="5FBF52AA"/>
    <w:rsid w:val="5FC137EC"/>
    <w:rsid w:val="5FE274DC"/>
    <w:rsid w:val="60C60335"/>
    <w:rsid w:val="612123E7"/>
    <w:rsid w:val="617A29A8"/>
    <w:rsid w:val="61D66A13"/>
    <w:rsid w:val="61F6669B"/>
    <w:rsid w:val="62333529"/>
    <w:rsid w:val="6243295F"/>
    <w:rsid w:val="62455D7E"/>
    <w:rsid w:val="62BD348D"/>
    <w:rsid w:val="634D3C76"/>
    <w:rsid w:val="638805D7"/>
    <w:rsid w:val="638C24FC"/>
    <w:rsid w:val="63AA0446"/>
    <w:rsid w:val="63D12E3E"/>
    <w:rsid w:val="63FBAE98"/>
    <w:rsid w:val="64710555"/>
    <w:rsid w:val="64E23914"/>
    <w:rsid w:val="65302858"/>
    <w:rsid w:val="654F682D"/>
    <w:rsid w:val="65A67032"/>
    <w:rsid w:val="66395A95"/>
    <w:rsid w:val="66DEB143"/>
    <w:rsid w:val="67041B93"/>
    <w:rsid w:val="671B668B"/>
    <w:rsid w:val="67345F15"/>
    <w:rsid w:val="673FFF22"/>
    <w:rsid w:val="67D70CB7"/>
    <w:rsid w:val="67EB7C17"/>
    <w:rsid w:val="67F244F1"/>
    <w:rsid w:val="67FAE09F"/>
    <w:rsid w:val="680571B7"/>
    <w:rsid w:val="680B32BF"/>
    <w:rsid w:val="68217291"/>
    <w:rsid w:val="6838670D"/>
    <w:rsid w:val="687605C0"/>
    <w:rsid w:val="68BC4977"/>
    <w:rsid w:val="692C2E86"/>
    <w:rsid w:val="69931E41"/>
    <w:rsid w:val="69BD27FC"/>
    <w:rsid w:val="69C0101C"/>
    <w:rsid w:val="6A6A63A4"/>
    <w:rsid w:val="6ABB58F6"/>
    <w:rsid w:val="6AE517EE"/>
    <w:rsid w:val="6AF65C7F"/>
    <w:rsid w:val="6B43073C"/>
    <w:rsid w:val="6B7F54B8"/>
    <w:rsid w:val="6B825FC3"/>
    <w:rsid w:val="6BB256BF"/>
    <w:rsid w:val="6BFB5F69"/>
    <w:rsid w:val="6C340216"/>
    <w:rsid w:val="6CED06BA"/>
    <w:rsid w:val="6E34575E"/>
    <w:rsid w:val="6E7575A8"/>
    <w:rsid w:val="6ED02738"/>
    <w:rsid w:val="6F015DAB"/>
    <w:rsid w:val="6F67637A"/>
    <w:rsid w:val="6F7D3176"/>
    <w:rsid w:val="6FF749CE"/>
    <w:rsid w:val="6FFF5CCE"/>
    <w:rsid w:val="700377E6"/>
    <w:rsid w:val="70073847"/>
    <w:rsid w:val="70862DFD"/>
    <w:rsid w:val="709251A2"/>
    <w:rsid w:val="709B1ADB"/>
    <w:rsid w:val="70B07839"/>
    <w:rsid w:val="714C6B88"/>
    <w:rsid w:val="71EB3DC7"/>
    <w:rsid w:val="7219379A"/>
    <w:rsid w:val="72B13EB1"/>
    <w:rsid w:val="72BE454D"/>
    <w:rsid w:val="72F51FDB"/>
    <w:rsid w:val="72FF1EC0"/>
    <w:rsid w:val="730029DA"/>
    <w:rsid w:val="73117853"/>
    <w:rsid w:val="736175D9"/>
    <w:rsid w:val="73A7D5CC"/>
    <w:rsid w:val="73B76E62"/>
    <w:rsid w:val="73B77111"/>
    <w:rsid w:val="73C12C8B"/>
    <w:rsid w:val="73E70B37"/>
    <w:rsid w:val="73F23645"/>
    <w:rsid w:val="7437085A"/>
    <w:rsid w:val="743C27BF"/>
    <w:rsid w:val="74621009"/>
    <w:rsid w:val="75312012"/>
    <w:rsid w:val="75BFA08E"/>
    <w:rsid w:val="75F70FB6"/>
    <w:rsid w:val="763273F7"/>
    <w:rsid w:val="763D6616"/>
    <w:rsid w:val="7648160C"/>
    <w:rsid w:val="76980DEE"/>
    <w:rsid w:val="76D05224"/>
    <w:rsid w:val="76D55962"/>
    <w:rsid w:val="77215161"/>
    <w:rsid w:val="773C532B"/>
    <w:rsid w:val="774F0FE1"/>
    <w:rsid w:val="777F67D8"/>
    <w:rsid w:val="77BFC5DA"/>
    <w:rsid w:val="77DDBACA"/>
    <w:rsid w:val="77F372D4"/>
    <w:rsid w:val="77F77773"/>
    <w:rsid w:val="77FEF4A6"/>
    <w:rsid w:val="783930A9"/>
    <w:rsid w:val="78802761"/>
    <w:rsid w:val="78864851"/>
    <w:rsid w:val="79345466"/>
    <w:rsid w:val="795D57A8"/>
    <w:rsid w:val="795F1311"/>
    <w:rsid w:val="796A5940"/>
    <w:rsid w:val="79A559B4"/>
    <w:rsid w:val="79B35301"/>
    <w:rsid w:val="7A4E3431"/>
    <w:rsid w:val="7A5B2CCA"/>
    <w:rsid w:val="7A806AE3"/>
    <w:rsid w:val="7AD60415"/>
    <w:rsid w:val="7B0A53EC"/>
    <w:rsid w:val="7B8D0CE2"/>
    <w:rsid w:val="7BB53539"/>
    <w:rsid w:val="7C4B2424"/>
    <w:rsid w:val="7C5936B5"/>
    <w:rsid w:val="7C676684"/>
    <w:rsid w:val="7CE55A75"/>
    <w:rsid w:val="7DB7DA71"/>
    <w:rsid w:val="7DEEE517"/>
    <w:rsid w:val="7DF24E2F"/>
    <w:rsid w:val="7DF6DCC3"/>
    <w:rsid w:val="7DFE44DC"/>
    <w:rsid w:val="7E0769F8"/>
    <w:rsid w:val="7E3F8F2C"/>
    <w:rsid w:val="7E6F9207"/>
    <w:rsid w:val="7E976D9D"/>
    <w:rsid w:val="7EF2633F"/>
    <w:rsid w:val="7F1F626A"/>
    <w:rsid w:val="7F2FCA5E"/>
    <w:rsid w:val="7F37018F"/>
    <w:rsid w:val="7F59567B"/>
    <w:rsid w:val="7F898755"/>
    <w:rsid w:val="7FCFBE06"/>
    <w:rsid w:val="7FE74683"/>
    <w:rsid w:val="7FFFAD7F"/>
    <w:rsid w:val="896B2AAD"/>
    <w:rsid w:val="95CDC4F2"/>
    <w:rsid w:val="9EDF4C0D"/>
    <w:rsid w:val="9F5D6C45"/>
    <w:rsid w:val="A75F328C"/>
    <w:rsid w:val="B1FF62A0"/>
    <w:rsid w:val="B77D563A"/>
    <w:rsid w:val="BFFBEEF4"/>
    <w:rsid w:val="CEFD6C01"/>
    <w:rsid w:val="D7E1609A"/>
    <w:rsid w:val="DF79802C"/>
    <w:rsid w:val="DFD15BCE"/>
    <w:rsid w:val="DFEFB025"/>
    <w:rsid w:val="EA27F2BA"/>
    <w:rsid w:val="EF13EBC0"/>
    <w:rsid w:val="EF8D67F6"/>
    <w:rsid w:val="EFFC47C4"/>
    <w:rsid w:val="F5FD5261"/>
    <w:rsid w:val="F9F58718"/>
    <w:rsid w:val="FAFE6F73"/>
    <w:rsid w:val="FBDBC112"/>
    <w:rsid w:val="FBFF3FA6"/>
    <w:rsid w:val="FEA3BA90"/>
    <w:rsid w:val="FEDF062E"/>
    <w:rsid w:val="FF4B39DC"/>
    <w:rsid w:val="FFAFDA1F"/>
    <w:rsid w:val="FFFB364C"/>
    <w:rsid w:val="FFFDB295"/>
    <w:rsid w:val="FFFF243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extendView val="OfficialView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spacing w:line="240" w:lineRule="auto"/>
      <w:jc w:val="both"/>
    </w:pPr>
    <w:rPr>
      <w:rFonts w:ascii="Times New Roman" w:hAnsi="Times New Roman" w:eastAsia="仿宋_GB2312" w:cs="Times New Roman"/>
      <w:spacing w:val="0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qFormat/>
    <w:uiPriority w:val="0"/>
    <w:rPr>
      <w:rFonts w:ascii="Times New Roman" w:hAnsi="Times New Roman" w:eastAsia="宋体"/>
    </w:rPr>
  </w:style>
  <w:style w:type="table" w:default="1" w:styleId="5">
    <w:name w:val="Normal Table"/>
    <w:unhideWhenUsed/>
    <w:qFormat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unhideWhenUsed/>
    <w:qFormat/>
    <w:uiPriority w:val="99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公文标题 3"/>
    <w:qFormat/>
    <w:uiPriority w:val="0"/>
    <w:pPr>
      <w:widowControl w:val="0"/>
      <w:numPr>
        <w:ilvl w:val="0"/>
        <w:numId w:val="1"/>
      </w:numPr>
      <w:overflowPunct w:val="0"/>
      <w:topLinePunct/>
      <w:spacing w:line="240" w:lineRule="auto"/>
      <w:jc w:val="both"/>
    </w:pPr>
    <w:rPr>
      <w:rFonts w:ascii="Times New Roman" w:hAnsi="Times New Roman" w:eastAsia="方正仿宋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9">
    <w:name w:val="公文标题 4"/>
    <w:qFormat/>
    <w:uiPriority w:val="0"/>
    <w:pPr>
      <w:widowControl w:val="0"/>
      <w:numPr>
        <w:ilvl w:val="0"/>
        <w:numId w:val="2"/>
      </w:numPr>
      <w:overflowPunct w:val="0"/>
      <w:topLinePunct/>
      <w:spacing w:line="240" w:lineRule="auto"/>
      <w:jc w:val="both"/>
    </w:pPr>
    <w:rPr>
      <w:rFonts w:ascii="Times New Roman" w:hAnsi="Times New Roman" w:eastAsia="方正仿宋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0">
    <w:name w:val="公文标题 1"/>
    <w:qFormat/>
    <w:uiPriority w:val="0"/>
    <w:pPr>
      <w:widowControl w:val="0"/>
      <w:numPr>
        <w:ilvl w:val="0"/>
        <w:numId w:val="3"/>
      </w:numPr>
      <w:overflowPunct w:val="0"/>
      <w:topLinePunct/>
      <w:spacing w:line="240" w:lineRule="auto"/>
      <w:jc w:val="both"/>
    </w:pPr>
    <w:rPr>
      <w:rFonts w:ascii="Times New Roman" w:hAnsi="Times New Roman" w:eastAsia="方正黑体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1">
    <w:name w:val="公文标题 2"/>
    <w:qFormat/>
    <w:uiPriority w:val="0"/>
    <w:pPr>
      <w:widowControl w:val="0"/>
      <w:numPr>
        <w:ilvl w:val="0"/>
        <w:numId w:val="4"/>
      </w:numPr>
      <w:overflowPunct w:val="0"/>
      <w:topLinePunct/>
      <w:spacing w:line="240" w:lineRule="auto"/>
      <w:jc w:val="both"/>
    </w:pPr>
    <w:rPr>
      <w:rFonts w:ascii="Times New Roman" w:hAnsi="Times New Roman" w:eastAsia="方正楷体_GBK" w:cs="Times New Roman"/>
      <w:spacing w:val="0"/>
      <w:kern w:val="2"/>
      <w:sz w:val="32"/>
      <w:szCs w:val="32"/>
      <w:lang w:val="en-US" w:eastAsia="zh-CN" w:bidi="ar-SA"/>
    </w:rPr>
  </w:style>
  <w:style w:type="paragraph" w:customStyle="1" w:styleId="12">
    <w:name w:val="p0"/>
    <w:basedOn w:val="1"/>
    <w:qFormat/>
    <w:uiPriority w:val="0"/>
    <w:pPr>
      <w:widowControl/>
    </w:pPr>
    <w:rPr>
      <w:rFonts w:hint="eastAsi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ome\kylin\C:\Program%20Files%20(x86)\Kingsoft\WPS%20Office\11.8.2.10229\office6\mui\zh_CN\templates\wps\GB9704_2012_Templates\Lett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Letter.dotx</Template>
  <Pages>2</Pages>
  <Words>1172</Words>
  <Characters>1179</Characters>
  <Lines>5</Lines>
  <Paragraphs>1</Paragraphs>
  <TotalTime>0</TotalTime>
  <ScaleCrop>false</ScaleCrop>
  <LinksUpToDate>false</LinksUpToDate>
  <CharactersWithSpaces>1179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2022-06-05T03:35:00Z</dcterms:created>
  <dc:creator>林小平</dc:creator>
  <cp:lastModifiedBy>纪可达</cp:lastModifiedBy>
  <dcterms:modified xsi:type="dcterms:W3CDTF">2026-08-07T03:06:03Z</dcterms:modified>
  <dc:title>No:0000001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7F8DF91CB7064130A4CB78F461B52868_13</vt:lpwstr>
  </property>
  <property fmtid="{D5CDD505-2E9C-101B-9397-08002B2CF9AE}" pid="4" name="文号">
    <vt:lpwstr>海安全函〔2026〕1796号</vt:lpwstr>
  </property>
  <property fmtid="{D5CDD505-2E9C-101B-9397-08002B2CF9AE}" pid="5" name="标题">
    <vt:lpwstr>交通运输部海事局关于征求《水上交通事故责任认定复核办法（征求意见稿）》意见的通知</vt:lpwstr>
  </property>
  <property fmtid="{D5CDD505-2E9C-101B-9397-08002B2CF9AE}" pid="6" name="标题_1">
    <vt:lpwstr>附件2《水上交通事故责任认定复核办法（征求意见稿）》的起草说明</vt:lpwstr>
  </property>
  <property fmtid="{D5CDD505-2E9C-101B-9397-08002B2CF9AE}" pid="7" name="主送机关">
    <vt:lpwstr>各直属海事局、局机关各相关处室</vt:lpwstr>
  </property>
</Properties>
</file>